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4098ds4.htm"/>
        <w:bookmarkStart w:id="1" w:name="ksd44098ds4"/>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30,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FORM S-4 </w:t>
      </w:r>
    </w:p>
    <w:p>
      <w:pPr>
        <w:pStyle w:val="TextBody"/>
        <w:bidi w:val="0"/>
        <w:spacing w:before="24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COMCAST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NBCUniversal Media, LLC </w:t>
      </w:r>
    </w:p>
    <w:p>
      <w:pPr>
        <w:pStyle w:val="TextBody"/>
        <w:bidi w:val="0"/>
        <w:spacing w:before="0" w:after="0"/>
        <w:jc w:val="center"/>
        <w:rPr>
          <w:rFonts w:ascii="Times New Roman" w:hAnsi="Times New Roman"/>
          <w:b/>
          <w:sz w:val="18"/>
        </w:rPr>
      </w:pPr>
      <w:r>
        <w:rPr>
          <w:rFonts w:ascii="Times New Roman" w:hAnsi="Times New Roman"/>
          <w:b/>
          <w:sz w:val="18"/>
        </w:rPr>
        <w:t xml:space="preserve">Comcast Cable Communications, LLC </w:t>
      </w:r>
    </w:p>
    <w:p>
      <w:pPr>
        <w:pStyle w:val="TextBody"/>
        <w:bidi w:val="0"/>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Pennsylvania</w:t>
              <w:br/>
              <w:t>Delaware</w:t>
              <w:b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8"/>
              </w:rPr>
            </w:pPr>
            <w:r>
              <w:rPr>
                <w:rFonts w:ascii="Times New Roman" w:hAnsi="Times New Roman"/>
                <w:b/>
                <w:sz w:val="18"/>
              </w:rPr>
              <w:t>4841</w:t>
            </w:r>
          </w:p>
          <w:p>
            <w:pPr>
              <w:pStyle w:val="TableContents"/>
              <w:bidi w:val="0"/>
              <w:spacing w:before="0" w:after="0"/>
              <w:jc w:val="center"/>
              <w:rPr>
                <w:rFonts w:ascii="Times New Roman" w:hAnsi="Times New Roman"/>
                <w:b/>
                <w:sz w:val="18"/>
              </w:rPr>
            </w:pPr>
            <w:r>
              <w:rPr>
                <w:rFonts w:ascii="Times New Roman" w:hAnsi="Times New Roman"/>
                <w:b/>
                <w:sz w:val="18"/>
              </w:rPr>
              <w:t>4841</w:t>
            </w:r>
          </w:p>
          <w:p>
            <w:pPr>
              <w:pStyle w:val="TableContents"/>
              <w:bidi w:val="0"/>
              <w:spacing w:before="0" w:after="20"/>
              <w:jc w:val="center"/>
              <w:rPr>
                <w:rFonts w:ascii="Times New Roman" w:hAnsi="Times New Roman"/>
                <w:b/>
                <w:sz w:val="18"/>
              </w:rPr>
            </w:pPr>
            <w:r>
              <w:rPr>
                <w:rFonts w:ascii="Times New Roman" w:hAnsi="Times New Roman"/>
                <w:b/>
                <w:sz w:val="18"/>
              </w:rPr>
              <w:t>4841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8"/>
              </w:rPr>
            </w:pPr>
            <w:r>
              <w:rPr>
                <w:rFonts w:ascii="Times New Roman" w:hAnsi="Times New Roman"/>
                <w:b/>
                <w:sz w:val="18"/>
              </w:rPr>
              <w:t>27-0000798</w:t>
            </w:r>
          </w:p>
          <w:p>
            <w:pPr>
              <w:pStyle w:val="TableContents"/>
              <w:bidi w:val="0"/>
              <w:spacing w:before="0" w:after="0"/>
              <w:jc w:val="center"/>
              <w:rPr>
                <w:rFonts w:ascii="Times New Roman" w:hAnsi="Times New Roman"/>
                <w:b/>
                <w:sz w:val="18"/>
              </w:rPr>
            </w:pPr>
            <w:r>
              <w:rPr>
                <w:rFonts w:ascii="Times New Roman" w:hAnsi="Times New Roman"/>
                <w:b/>
                <w:sz w:val="18"/>
              </w:rPr>
              <w:t>14-1682529</w:t>
            </w:r>
          </w:p>
          <w:p>
            <w:pPr>
              <w:pStyle w:val="TableContents"/>
              <w:bidi w:val="0"/>
              <w:spacing w:before="0" w:after="20"/>
              <w:jc w:val="center"/>
              <w:rPr>
                <w:rFonts w:ascii="Times New Roman" w:hAnsi="Times New Roman"/>
                <w:b/>
                <w:sz w:val="18"/>
              </w:rPr>
            </w:pPr>
            <w:r>
              <w:rPr>
                <w:rFonts w:ascii="Times New Roman" w:hAnsi="Times New Roman"/>
                <w:b/>
                <w:sz w:val="18"/>
              </w:rPr>
              <w:t>23-2175755</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One Comcast Center </w:t>
      </w:r>
    </w:p>
    <w:p>
      <w:pPr>
        <w:pStyle w:val="TextBody"/>
        <w:bidi w:val="0"/>
        <w:spacing w:before="0" w:after="0"/>
        <w:jc w:val="center"/>
        <w:rPr>
          <w:rFonts w:ascii="Times New Roman" w:hAnsi="Times New Roman"/>
          <w:b/>
          <w:sz w:val="18"/>
        </w:rPr>
      </w:pPr>
      <w:r>
        <w:rPr>
          <w:rFonts w:ascii="Times New Roman" w:hAnsi="Times New Roman"/>
          <w:b/>
          <w:sz w:val="18"/>
        </w:rPr>
        <w:t xml:space="preserve">Philadelphia, Pennsylvania 19103-2838 </w:t>
      </w:r>
    </w:p>
    <w:p>
      <w:pPr>
        <w:pStyle w:val="TextBody"/>
        <w:bidi w:val="0"/>
        <w:spacing w:before="0" w:after="0"/>
        <w:jc w:val="center"/>
        <w:rPr>
          <w:rFonts w:ascii="Times New Roman" w:hAnsi="Times New Roman"/>
          <w:b/>
          <w:sz w:val="18"/>
        </w:rPr>
      </w:pPr>
      <w:r>
        <w:rPr>
          <w:rFonts w:ascii="Times New Roman" w:hAnsi="Times New Roman"/>
          <w:b/>
          <w:sz w:val="18"/>
        </w:rPr>
        <w:t xml:space="preserve">(215) 286-1700 </w:t>
      </w:r>
    </w:p>
    <w:p>
      <w:pPr>
        <w:pStyle w:val="TextBody"/>
        <w:bidi w:val="0"/>
        <w:spacing w:before="0" w:after="0"/>
        <w:jc w:val="center"/>
        <w:rPr>
          <w:rFonts w:ascii="Times New Roman" w:hAnsi="Times New Roman"/>
          <w:b/>
          <w:sz w:val="18"/>
        </w:rPr>
      </w:pPr>
      <w:r>
        <w:rPr>
          <w:rFonts w:ascii="Times New Roman" w:hAnsi="Times New Roman"/>
          <w:b/>
          <w:sz w:val="18"/>
        </w:rPr>
        <w:t xml:space="preserve">30 Rockefeller Plaza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New York 10112-0015 </w:t>
      </w:r>
    </w:p>
    <w:p>
      <w:pPr>
        <w:pStyle w:val="TextBody"/>
        <w:bidi w:val="0"/>
        <w:spacing w:before="0" w:after="0"/>
        <w:jc w:val="center"/>
        <w:rPr>
          <w:rFonts w:ascii="Times New Roman" w:hAnsi="Times New Roman"/>
          <w:b/>
          <w:sz w:val="18"/>
        </w:rPr>
      </w:pPr>
      <w:r>
        <w:rPr>
          <w:rFonts w:ascii="Times New Roman" w:hAnsi="Times New Roman"/>
          <w:b/>
          <w:sz w:val="18"/>
        </w:rPr>
        <w:t xml:space="preserve">(212) 664-4444 </w:t>
      </w:r>
    </w:p>
    <w:p>
      <w:pPr>
        <w:pStyle w:val="TextBody"/>
        <w:bidi w:val="0"/>
        <w:spacing w:before="0" w:after="0"/>
        <w:jc w:val="center"/>
        <w:rPr>
          <w:rFonts w:ascii="Times New Roman" w:hAnsi="Times New Roman"/>
          <w:b/>
          <w:sz w:val="18"/>
        </w:rPr>
      </w:pPr>
      <w:r>
        <w:rPr>
          <w:rFonts w:ascii="Times New Roman" w:hAnsi="Times New Roman"/>
          <w:b/>
          <w:sz w:val="18"/>
        </w:rPr>
        <w:t xml:space="preserve">One Comcast Center </w:t>
      </w:r>
    </w:p>
    <w:p>
      <w:pPr>
        <w:pStyle w:val="TextBody"/>
        <w:bidi w:val="0"/>
        <w:spacing w:before="0" w:after="0"/>
        <w:jc w:val="center"/>
        <w:rPr>
          <w:rFonts w:ascii="Times New Roman" w:hAnsi="Times New Roman"/>
          <w:b/>
          <w:sz w:val="18"/>
        </w:rPr>
      </w:pPr>
      <w:r>
        <w:rPr>
          <w:rFonts w:ascii="Times New Roman" w:hAnsi="Times New Roman"/>
          <w:b/>
          <w:sz w:val="18"/>
        </w:rPr>
        <w:t xml:space="preserve">Philadelphia, Pennsylvania 19103-2838 </w:t>
      </w:r>
    </w:p>
    <w:p>
      <w:pPr>
        <w:pStyle w:val="TextBody"/>
        <w:bidi w:val="0"/>
        <w:spacing w:before="0" w:after="0"/>
        <w:jc w:val="center"/>
        <w:rPr>
          <w:rFonts w:ascii="Times New Roman" w:hAnsi="Times New Roman"/>
          <w:b/>
          <w:sz w:val="18"/>
        </w:rPr>
      </w:pPr>
      <w:r>
        <w:rPr>
          <w:rFonts w:ascii="Times New Roman" w:hAnsi="Times New Roman"/>
          <w:b/>
          <w:sz w:val="18"/>
        </w:rPr>
        <w:t xml:space="preserve">(215) 286-1700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240" w:after="0"/>
        <w:jc w:val="center"/>
        <w:rPr>
          <w:rFonts w:ascii="Times New Roman" w:hAnsi="Times New Roman"/>
          <w:b/>
          <w:sz w:val="18"/>
        </w:rPr>
      </w:pPr>
      <w:r>
        <w:rPr>
          <w:rFonts w:ascii="Times New Roman" w:hAnsi="Times New Roman"/>
          <w:b/>
          <w:sz w:val="18"/>
        </w:rPr>
        <w:t xml:space="preserve">Thomas J. Reid, Esq. </w:t>
      </w:r>
    </w:p>
    <w:p>
      <w:pPr>
        <w:pStyle w:val="TextBody"/>
        <w:bidi w:val="0"/>
        <w:spacing w:before="0" w:after="0"/>
        <w:jc w:val="center"/>
        <w:rPr>
          <w:rFonts w:ascii="Times New Roman" w:hAnsi="Times New Roman"/>
          <w:b/>
          <w:sz w:val="18"/>
        </w:rPr>
      </w:pPr>
      <w:r>
        <w:rPr>
          <w:rFonts w:ascii="Times New Roman" w:hAnsi="Times New Roman"/>
          <w:b/>
          <w:sz w:val="18"/>
        </w:rPr>
        <w:t xml:space="preserve">Chief Legal Officer and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Comcast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One Comcast Center </w:t>
      </w:r>
    </w:p>
    <w:p>
      <w:pPr>
        <w:pStyle w:val="TextBody"/>
        <w:bidi w:val="0"/>
        <w:spacing w:before="0" w:after="0"/>
        <w:jc w:val="center"/>
        <w:rPr>
          <w:rFonts w:ascii="Times New Roman" w:hAnsi="Times New Roman"/>
          <w:b/>
          <w:sz w:val="18"/>
        </w:rPr>
      </w:pPr>
      <w:r>
        <w:rPr>
          <w:rFonts w:ascii="Times New Roman" w:hAnsi="Times New Roman"/>
          <w:b/>
          <w:sz w:val="18"/>
        </w:rPr>
        <w:t xml:space="preserve">Philadelphia, Pennsylvania 19103-2838 </w:t>
      </w:r>
    </w:p>
    <w:p>
      <w:pPr>
        <w:pStyle w:val="TextBody"/>
        <w:bidi w:val="0"/>
        <w:spacing w:before="0" w:after="0"/>
        <w:jc w:val="center"/>
        <w:rPr>
          <w:rFonts w:ascii="Times New Roman" w:hAnsi="Times New Roman"/>
          <w:b/>
          <w:sz w:val="18"/>
        </w:rPr>
      </w:pPr>
      <w:r>
        <w:rPr>
          <w:rFonts w:ascii="Times New Roman" w:hAnsi="Times New Roman"/>
          <w:b/>
          <w:sz w:val="18"/>
        </w:rPr>
        <w:t xml:space="preserve">(215) 286-1700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Copy to: </w:t>
      </w:r>
    </w:p>
    <w:p>
      <w:pPr>
        <w:pStyle w:val="TextBody"/>
        <w:bidi w:val="0"/>
        <w:spacing w:before="120" w:after="0"/>
        <w:jc w:val="center"/>
        <w:rPr>
          <w:rFonts w:ascii="Times New Roman" w:hAnsi="Times New Roman"/>
          <w:b/>
          <w:sz w:val="18"/>
        </w:rPr>
      </w:pPr>
      <w:r>
        <w:rPr>
          <w:rFonts w:ascii="Times New Roman" w:hAnsi="Times New Roman"/>
          <w:b/>
          <w:sz w:val="18"/>
        </w:rPr>
        <w:t xml:space="preserve">John B. Meade, Esq. </w:t>
      </w:r>
    </w:p>
    <w:p>
      <w:pPr>
        <w:pStyle w:val="TextBody"/>
        <w:bidi w:val="0"/>
        <w:spacing w:before="0" w:after="0"/>
        <w:jc w:val="center"/>
        <w:rPr>
          <w:rFonts w:ascii="Times New Roman" w:hAnsi="Times New Roman"/>
          <w:b/>
          <w:sz w:val="18"/>
        </w:rPr>
      </w:pPr>
      <w:r>
        <w:rPr>
          <w:rFonts w:ascii="Times New Roman" w:hAnsi="Times New Roman"/>
          <w:b/>
          <w:sz w:val="18"/>
        </w:rPr>
        <w:t xml:space="preserve">Davis Polk &amp; Wardwell LLP </w:t>
      </w:r>
    </w:p>
    <w:p>
      <w:pPr>
        <w:pStyle w:val="TextBody"/>
        <w:bidi w:val="0"/>
        <w:spacing w:before="0" w:after="0"/>
        <w:jc w:val="center"/>
        <w:rPr>
          <w:rFonts w:ascii="Times New Roman" w:hAnsi="Times New Roman"/>
          <w:b/>
          <w:sz w:val="18"/>
        </w:rPr>
      </w:pPr>
      <w:r>
        <w:rPr>
          <w:rFonts w:ascii="Times New Roman" w:hAnsi="Times New Roman"/>
          <w:b/>
          <w:sz w:val="18"/>
        </w:rPr>
        <w:t xml:space="preserve">450 Lexington Avenue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New York 10017 </w:t>
      </w:r>
    </w:p>
    <w:p>
      <w:pPr>
        <w:pStyle w:val="TextBody"/>
        <w:bidi w:val="0"/>
        <w:spacing w:before="0" w:after="0"/>
        <w:jc w:val="center"/>
        <w:rPr>
          <w:rFonts w:ascii="Times New Roman" w:hAnsi="Times New Roman"/>
          <w:b/>
          <w:sz w:val="18"/>
        </w:rPr>
      </w:pPr>
      <w:r>
        <w:rPr>
          <w:rFonts w:ascii="Times New Roman" w:hAnsi="Times New Roman"/>
          <w:b/>
          <w:sz w:val="18"/>
        </w:rPr>
        <w:t xml:space="preserve">(212) 450-4000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this Registration Statement becomes effective. </w:t>
      </w:r>
    </w:p>
    <w:p>
      <w:pPr>
        <w:pStyle w:val="TextBody"/>
        <w:bidi w:val="0"/>
        <w:spacing w:before="240" w:after="0"/>
        <w:jc w:val="left"/>
        <w:rPr>
          <w:rFonts w:ascii="Times New Roman" w:hAnsi="Times New Roman"/>
          <w:sz w:val="16"/>
        </w:rPr>
      </w:pPr>
      <w:r>
        <w:rPr>
          <w:rFonts w:ascii="Times New Roman" w:hAnsi="Times New Roman"/>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1"/>
        <w:gridCol w:w="101"/>
        <w:gridCol w:w="4805"/>
        <w:gridCol w:w="131"/>
        <w:gridCol w:w="2663"/>
        <w:gridCol w:w="101"/>
        <w:gridCol w:w="263"/>
      </w:tblGrid>
      <w:tr>
        <w:trPr/>
        <w:tc>
          <w:tcPr>
            <w:tcW w:w="21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41" w:type="dxa"/>
            <w:tcBorders/>
            <w:vAlign w:val="bottom"/>
          </w:tcPr>
          <w:p>
            <w:pPr>
              <w:pStyle w:val="TableContents"/>
              <w:bidi w:val="0"/>
              <w:spacing w:before="0" w:after="283"/>
              <w:jc w:val="left"/>
              <w:rPr/>
            </w:pPr>
            <w:r>
              <w:rPr/>
              <w:t>Large accelerated filer</w:t>
            </w:r>
          </w:p>
        </w:tc>
        <w:tc>
          <w:tcPr>
            <w:tcW w:w="101" w:type="dxa"/>
            <w:tcBorders/>
            <w:vAlign w:val="bottom"/>
          </w:tcPr>
          <w:p>
            <w:pPr>
              <w:pStyle w:val="TableContents"/>
              <w:bidi w:val="0"/>
              <w:spacing w:before="0" w:after="283"/>
              <w:jc w:val="left"/>
              <w:rPr/>
            </w:pPr>
            <w:r>
              <w:rPr/>
              <w:t> </w:t>
            </w:r>
          </w:p>
        </w:tc>
        <w:tc>
          <w:tcPr>
            <w:tcW w:w="4805" w:type="dxa"/>
            <w:tcBorders/>
            <w:vAlign w:val="bottom"/>
          </w:tcPr>
          <w:p>
            <w:pPr>
              <w:pStyle w:val="TableContents"/>
              <w:bidi w:val="0"/>
              <w:spacing w:before="0" w:after="283"/>
              <w:jc w:val="left"/>
              <w:rPr/>
            </w:pPr>
            <w:r>
              <w:rPr/>
              <w:t>☒</w:t>
            </w:r>
          </w:p>
        </w:tc>
        <w:tc>
          <w:tcPr>
            <w:tcW w:w="131" w:type="dxa"/>
            <w:tcBorders/>
            <w:vAlign w:val="bottom"/>
          </w:tcPr>
          <w:p>
            <w:pPr>
              <w:pStyle w:val="TableContents"/>
              <w:bidi w:val="0"/>
              <w:spacing w:before="0" w:after="283"/>
              <w:jc w:val="left"/>
              <w:rPr/>
            </w:pPr>
            <w:r>
              <w:rPr/>
              <w:t>  </w:t>
            </w:r>
          </w:p>
        </w:tc>
        <w:tc>
          <w:tcPr>
            <w:tcW w:w="2663" w:type="dxa"/>
            <w:tcBorders/>
            <w:vAlign w:val="bottom"/>
          </w:tcPr>
          <w:p>
            <w:pPr>
              <w:pStyle w:val="TableContents"/>
              <w:bidi w:val="0"/>
              <w:spacing w:before="0" w:after="283"/>
              <w:jc w:val="left"/>
              <w:rPr/>
            </w:pPr>
            <w:r>
              <w:rPr/>
              <w:t>Accelerated filer</w:t>
            </w:r>
          </w:p>
        </w:tc>
        <w:tc>
          <w:tcPr>
            <w:tcW w:w="10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r>
      <w:tr>
        <w:trPr>
          <w:trHeight w:val="120" w:hRule="atLeast"/>
        </w:trPr>
        <w:tc>
          <w:tcPr>
            <w:tcW w:w="2141" w:type="dxa"/>
            <w:tcBorders/>
            <w:vAlign w:val="center"/>
          </w:tcPr>
          <w:p>
            <w:pPr>
              <w:pStyle w:val="TableContents"/>
              <w:bidi w:val="0"/>
              <w:spacing w:before="0" w:after="283"/>
              <w:jc w:val="left"/>
              <w:rPr>
                <w:sz w:val="4"/>
                <w:szCs w:val="4"/>
              </w:rPr>
            </w:pPr>
            <w:r>
              <w:rPr>
                <w:sz w:val="4"/>
                <w:szCs w:val="4"/>
              </w:rPr>
            </w:r>
          </w:p>
        </w:tc>
        <w:tc>
          <w:tcPr>
            <w:tcW w:w="4906" w:type="dxa"/>
            <w:gridSpan w:val="2"/>
            <w:tcBorders/>
            <w:vAlign w:val="center"/>
          </w:tcPr>
          <w:p>
            <w:pPr>
              <w:pStyle w:val="TableContents"/>
              <w:bidi w:val="0"/>
              <w:spacing w:before="0" w:after="283"/>
              <w:jc w:val="left"/>
              <w:rPr>
                <w:sz w:val="4"/>
                <w:szCs w:val="4"/>
              </w:rPr>
            </w:pPr>
            <w:r>
              <w:rPr>
                <w:sz w:val="4"/>
                <w:szCs w:val="4"/>
              </w:rPr>
            </w:r>
          </w:p>
        </w:tc>
        <w:tc>
          <w:tcPr>
            <w:tcW w:w="2794"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r>
      <w:tr>
        <w:trPr/>
        <w:tc>
          <w:tcPr>
            <w:tcW w:w="2141" w:type="dxa"/>
            <w:tcBorders/>
            <w:vAlign w:val="bottom"/>
          </w:tcPr>
          <w:p>
            <w:pPr>
              <w:pStyle w:val="TableContents"/>
              <w:bidi w:val="0"/>
              <w:spacing w:before="0" w:after="283"/>
              <w:jc w:val="left"/>
              <w:rPr/>
            </w:pPr>
            <w:r>
              <w:rPr/>
              <w:t>Non-accelerated filer</w:t>
            </w:r>
          </w:p>
        </w:tc>
        <w:tc>
          <w:tcPr>
            <w:tcW w:w="101" w:type="dxa"/>
            <w:tcBorders/>
            <w:vAlign w:val="bottom"/>
          </w:tcPr>
          <w:p>
            <w:pPr>
              <w:pStyle w:val="TableContents"/>
              <w:bidi w:val="0"/>
              <w:spacing w:before="0" w:after="283"/>
              <w:jc w:val="left"/>
              <w:rPr/>
            </w:pPr>
            <w:r>
              <w:rPr/>
              <w:t> </w:t>
            </w:r>
          </w:p>
        </w:tc>
        <w:tc>
          <w:tcPr>
            <w:tcW w:w="4805" w:type="dxa"/>
            <w:tcBorders/>
            <w:vAlign w:val="bottom"/>
          </w:tcPr>
          <w:p>
            <w:pPr>
              <w:pStyle w:val="TableContents"/>
              <w:bidi w:val="0"/>
              <w:spacing w:before="0" w:after="283"/>
              <w:jc w:val="left"/>
              <w:rPr/>
            </w:pPr>
            <w:r>
              <w:rPr/>
              <w:t xml:space="preserve">☐ </w:t>
            </w:r>
            <w:r>
              <w:rPr/>
              <w:t>(Do not check if a smaller reporting company)</w:t>
            </w:r>
          </w:p>
        </w:tc>
        <w:tc>
          <w:tcPr>
            <w:tcW w:w="131" w:type="dxa"/>
            <w:tcBorders/>
            <w:vAlign w:val="bottom"/>
          </w:tcPr>
          <w:p>
            <w:pPr>
              <w:pStyle w:val="TableContents"/>
              <w:bidi w:val="0"/>
              <w:spacing w:before="0" w:after="283"/>
              <w:jc w:val="left"/>
              <w:rPr/>
            </w:pPr>
            <w:r>
              <w:rPr/>
              <w:t>  </w:t>
            </w:r>
          </w:p>
        </w:tc>
        <w:tc>
          <w:tcPr>
            <w:tcW w:w="2663" w:type="dxa"/>
            <w:tcBorders/>
            <w:vAlign w:val="bottom"/>
          </w:tcPr>
          <w:p>
            <w:pPr>
              <w:pStyle w:val="TableContents"/>
              <w:bidi w:val="0"/>
              <w:spacing w:before="0" w:after="283"/>
              <w:jc w:val="left"/>
              <w:rPr/>
            </w:pPr>
            <w:r>
              <w:rPr/>
              <w:t>Smaller reporting company</w:t>
            </w:r>
          </w:p>
        </w:tc>
        <w:tc>
          <w:tcPr>
            <w:tcW w:w="10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r>
      <w:tr>
        <w:trPr>
          <w:trHeight w:val="120" w:hRule="atLeast"/>
        </w:trPr>
        <w:tc>
          <w:tcPr>
            <w:tcW w:w="2141" w:type="dxa"/>
            <w:tcBorders/>
            <w:vAlign w:val="center"/>
          </w:tcPr>
          <w:p>
            <w:pPr>
              <w:pStyle w:val="TableContents"/>
              <w:bidi w:val="0"/>
              <w:spacing w:before="0" w:after="283"/>
              <w:jc w:val="left"/>
              <w:rPr>
                <w:sz w:val="4"/>
                <w:szCs w:val="4"/>
              </w:rPr>
            </w:pPr>
            <w:r>
              <w:rPr>
                <w:sz w:val="4"/>
                <w:szCs w:val="4"/>
              </w:rPr>
            </w:r>
          </w:p>
        </w:tc>
        <w:tc>
          <w:tcPr>
            <w:tcW w:w="4906" w:type="dxa"/>
            <w:gridSpan w:val="2"/>
            <w:tcBorders/>
            <w:vAlign w:val="center"/>
          </w:tcPr>
          <w:p>
            <w:pPr>
              <w:pStyle w:val="TableContents"/>
              <w:bidi w:val="0"/>
              <w:spacing w:before="0" w:after="283"/>
              <w:jc w:val="left"/>
              <w:rPr>
                <w:sz w:val="4"/>
                <w:szCs w:val="4"/>
              </w:rPr>
            </w:pPr>
            <w:r>
              <w:rPr>
                <w:sz w:val="4"/>
                <w:szCs w:val="4"/>
              </w:rPr>
            </w:r>
          </w:p>
        </w:tc>
        <w:tc>
          <w:tcPr>
            <w:tcW w:w="2794"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r>
      <w:tr>
        <w:trPr/>
        <w:tc>
          <w:tcPr>
            <w:tcW w:w="2141"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80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663" w:type="dxa"/>
            <w:tcBorders/>
            <w:vAlign w:val="bottom"/>
          </w:tcPr>
          <w:p>
            <w:pPr>
              <w:pStyle w:val="TableContents"/>
              <w:bidi w:val="0"/>
              <w:spacing w:before="0" w:after="283"/>
              <w:jc w:val="left"/>
              <w:rPr/>
            </w:pPr>
            <w:r>
              <w:rPr/>
              <w:t>Emerging growth company</w:t>
            </w:r>
          </w:p>
        </w:tc>
        <w:tc>
          <w:tcPr>
            <w:tcW w:w="10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sz w:val="16"/>
        </w:rPr>
      </w:pPr>
      <w:r>
        <w:rPr>
          <w:rFonts w:ascii="Times New Roman" w:hAnsi="Times New Roman"/>
          <w:sz w:val="16"/>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6"/>
        </w:rPr>
      </w:pPr>
      <w:r>
        <w:rPr>
          <w:rFonts w:ascii="Times New Roman" w:hAnsi="Times New Roman"/>
          <w:sz w:val="16"/>
        </w:rPr>
        <w:t xml:space="preserve">Exchange Act Rule 13e-4(i) (Cross-Border Issuer Tender Offer)  ☐ </w:t>
      </w:r>
    </w:p>
    <w:p>
      <w:pPr>
        <w:pStyle w:val="TextBody"/>
        <w:bidi w:val="0"/>
        <w:spacing w:before="240" w:after="0"/>
        <w:jc w:val="left"/>
        <w:rPr>
          <w:rFonts w:ascii="Times New Roman" w:hAnsi="Times New Roman"/>
          <w:sz w:val="16"/>
        </w:rPr>
      </w:pPr>
      <w:r>
        <w:rPr>
          <w:rFonts w:ascii="Times New Roman" w:hAnsi="Times New Roman"/>
          <w:sz w:val="16"/>
        </w:rPr>
        <w:t xml:space="preserve">Exchange Act Rule 14d-l(d)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may change. We may not complete the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30,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805940" cy="717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5940" cy="7175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Offer to Exchange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Up to $1,172,013,000 aggregate principal amount of new 5.168% Notes due 2037 registered under the Securities Act of 1933,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for any and all outstanding unregistered 5.168% Notes due 2037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Comcast Corporation (“Comcast”) is offering to exchange: new registered 5.168% Notes due 2037 (the “Exchange Notes”) for its outstanding unregistered 5.168% Notes due 2037 (the “Original Notes”). The Original Notes and the Exchange Notes are sometimes referred to in this prospectus together as the “Notes.” The terms of the Exchange Notes are substantially identical to the terms of the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Original Notes may only be tendered in an amount equal to $2,000 in principal amount and in multiples of $1,000 thereafter. Interest on the Exchange Notes will accrue from the most recent date to which interest on the Original Notes has been paid (July 15, 2026), and will be payable semi-annually in arrears on January 15 and July 15, commencing on January 15, 2027. We will deem the right to receive any interest accrued but unpaid on the Original Notes waived by you if we accept your Original Notes for exchange. Accordingly, holders whose tenders are accepted for exchange will not receive any payment in respect of accrued interest on such Original Notes, unless the record date for any such interest payment occurs before the completion of the Exchange Offer. We refer to this offer as the “Exchange Offer.” For a more detailed description of the Exchange Notes, see “Description of Exchange Notes and the Guarantees.”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are not asking you for a proxy and you are requested not to send us a proxy. You do not have dissenters’ rights of appraisal in connection with the Exchange Offer. See “The Exchange Offer—Absence of Dissenters’ Rights of Appraisal.”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No public market currently exists for the Original Notes and we cannot assure you that any public market for the Exchange Notes will develop. The Exchange Notes will not be listed on any national securities exchange.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Each broker-dealer that receives Exchange Notes for its own account pursuant to the Exchange Offer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have agreed that, for a period of 90 days after the Expiration Date (as defined herein), we will make this prospectus available to any broker-dealer for use in connection with any such resale. See “Plan of Distribution” below.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Holders may withdraw their tendered Original Notes at any time at or prior to the Expiration Date (as defined below) of the Exchange Offer. The Exchange Offer will expire at 11:59 p.m., New York City time, on    , 2026, unless extended or earlier terminated by us (such date, as the same may be extended or earlier terminated with respect to the Exchange Notes, the “Expiration Date”). The Exchange Offer is subject to customary conditions discussed under “The Exchange Offer—Conditions to the Exchange Offer.”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18"/>
        </w:rPr>
        <w:t>Investing in the Exchange Notes involves risks. See “</w:t>
      </w:r>
      <w:hyperlink w:anchor="tx44098_6">
        <w:r>
          <w:rPr>
            <w:rStyle w:val="InternetLink"/>
            <w:rFonts w:ascii="Times New Roman" w:hAnsi="Times New Roman"/>
            <w:b/>
            <w:sz w:val="18"/>
          </w:rPr>
          <w:t>Risk Factors</w:t>
        </w:r>
      </w:hyperlink>
      <w:r>
        <w:rPr>
          <w:rFonts w:ascii="Times New Roman" w:hAnsi="Times New Roman"/>
          <w:b/>
          <w:sz w:val="18"/>
        </w:rPr>
        <w:t xml:space="preserve">” beginning on page 12 of our Annual Report on Form 10-K for the fiscal year ended December 31, 2025 and page 37 of our Quarterly Report on Form 10-Q for the quarter ended June 30, 2026, which is incorporated by reference herein, and on page 12 of this prospectus, to read about factors you should consider before investing in the Exchange Notes. </w:t>
      </w:r>
    </w:p>
    <w:p>
      <w:pPr>
        <w:pStyle w:val="TextBody"/>
        <w:bidi w:val="0"/>
        <w:spacing w:before="24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18"/>
        </w:rPr>
      </w:pPr>
      <w:r>
        <w:rPr>
          <w:rFonts w:ascii="Times New Roman" w:hAnsi="Times New Roman"/>
          <w:b/>
          <w:sz w:val="18"/>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2"/>
        <w:gridCol w:w="346"/>
        <w:gridCol w:w="90"/>
        <w:gridCol w:w="395"/>
        <w:gridCol w:w="62"/>
      </w:tblGrid>
      <w:tr>
        <w:trPr/>
        <w:tc>
          <w:tcPr>
            <w:tcW w:w="9312"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1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
              <w:r>
                <w:rPr>
                  <w:rStyle w:val="InternetLink"/>
                </w:rPr>
                <w:t>About This Prospectus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2">
              <w:r>
                <w:rPr>
                  <w:rStyle w:val="InternetLink"/>
                </w:rPr>
                <w:t>Forward-Looking Statements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3">
              <w:r>
                <w:rPr>
                  <w:rStyle w:val="InternetLink"/>
                </w:rPr>
                <w:t>Where You Can Find More Information</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4">
              <w:r>
                <w:rPr>
                  <w:rStyle w:val="InternetLink"/>
                </w:rPr>
                <w:t>Incorporation of Certain Information by Reference</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5">
              <w:r>
                <w:rPr>
                  <w:rStyle w:val="InternetLink"/>
                </w:rPr>
                <w:t>Summary</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6">
              <w:r>
                <w:rPr>
                  <w:rStyle w:val="InternetLink"/>
                </w:rPr>
                <w:t>Risk Factors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7">
              <w:r>
                <w:rPr>
                  <w:rStyle w:val="InternetLink"/>
                </w:rPr>
                <w:t>Use of Proceeds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8">
              <w:r>
                <w:rPr>
                  <w:rStyle w:val="InternetLink"/>
                </w:rPr>
                <w:t>The Exchange Offer</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9">
              <w:r>
                <w:rPr>
                  <w:rStyle w:val="InternetLink"/>
                </w:rPr>
                <w:t>Description of the Exchange Notes and the Guarantees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0">
              <w:r>
                <w:rPr>
                  <w:rStyle w:val="InternetLink"/>
                </w:rPr>
                <w:t>Certain U.S. Federal Income Tax Considerations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1">
              <w:r>
                <w:rPr>
                  <w:rStyle w:val="InternetLink"/>
                </w:rPr>
                <w:t>Plan of Distribution</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2">
              <w:r>
                <w:rPr>
                  <w:rStyle w:val="InternetLink"/>
                </w:rPr>
                <w:t>The Exchange Agent</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3">
              <w:r>
                <w:rPr>
                  <w:rStyle w:val="InternetLink"/>
                </w:rPr>
                <w:t>Validity of Securities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44098_14">
              <w:r>
                <w:rPr>
                  <w:rStyle w:val="InternetLink"/>
                </w:rPr>
                <w:t>Experts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409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 person has been authorized to give any information or any representation concerning us or the Exchange Offer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making an investment decision, prospective investors must rely on their own examination of us, and the terms of the Exchange Offer ,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 and to invest in the Exchange Notes under applicable legal investment or similar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No letter of transmittal will be used in connection with the Exchange Offer, and there are no guaranteed delivery provisions provided for in conjunction with the Exchange Offer under the terms of this prospectus. Tendering holders must tender their Original Notes in accordance with the procedures set forth under “The Exchange Offer —Procedures for Tendering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believed to be accurate with respect to certain documents, but reference is made to the actual documents for complete information. All such summaries are qualified in their entirety by such reference.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4098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included or incorporated by reference in this prospectus statements that may constitute “forward- 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44098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including us, which can be accessed at http:// www.sec.gov.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in any prospectus supplement, in any free writing prospectus prepared by or on behalf of us or to which we have referred you and in material we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free writing prospectus and our filings with the SEC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44098_4"/>
      <w:bookmarkEnd w:id="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chosen to “incorporate by reference” the information we file with the SEC, and this prospectus incorporates important business and financial information about us that is not included or delivered with this prospectus.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Sections 13(a), 13(c), 14 or 15(d) of the Securities Exchange Act of 1934 (the “Exchange Act”) after the date of this prospectus and until we complete the Exchange Offer (other than, in each case, documents or information deemed to have been furnished and not filed in accordance with the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Comcast’s Annual Report on Form 10-K for the year ended December 31, 2025, filed on </w:t>
            </w:r>
            <w:hyperlink r:id="rId3">
              <w:r>
                <w:rPr>
                  <w:rStyle w:val="InternetLink"/>
                  <w:rFonts w:ascii="Times New Roman" w:hAnsi="Times New Roman"/>
                  <w:sz w:val="20"/>
                </w:rPr>
                <w:t>February 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rFonts w:ascii="Times New Roman" w:hAnsi="Times New Roman"/>
                <w:sz w:val="20"/>
              </w:rPr>
              <w:t xml:space="preserve">Comcast’s Quarterly Reports on Form 10-Q for the quarter ended March 31, 2026, filed on </w:t>
            </w:r>
            <w:hyperlink r:id="rId4">
              <w:r>
                <w:rPr>
                  <w:rStyle w:val="InternetLink"/>
                  <w:rFonts w:ascii="Times New Roman" w:hAnsi="Times New Roman"/>
                  <w:sz w:val="20"/>
                </w:rPr>
                <w:t>April 23, 2026</w:t>
              </w:r>
            </w:hyperlink>
            <w:r>
              <w:rPr>
                <w:rFonts w:ascii="Times New Roman" w:hAnsi="Times New Roman"/>
                <w:sz w:val="20"/>
              </w:rPr>
              <w:t xml:space="preserve"> and for the quarter ended June  30, 2026, filed on </w:t>
            </w:r>
            <w:hyperlink r:id="rId5">
              <w:r>
                <w:rPr>
                  <w:rStyle w:val="InternetLink"/>
                  <w:rFonts w:ascii="Times New Roman" w:hAnsi="Times New Roman"/>
                  <w:sz w:val="20"/>
                </w:rPr>
                <w:t>July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rFonts w:ascii="Times New Roman" w:hAnsi="Times New Roman"/>
                <w:sz w:val="20"/>
              </w:rPr>
              <w:t xml:space="preserve">Comcast’s Current Reports on Form 8-K filed with the SEC on </w:t>
            </w:r>
            <w:hyperlink r:id="rId6">
              <w:r>
                <w:rPr>
                  <w:rStyle w:val="InternetLink"/>
                  <w:rFonts w:ascii="Times New Roman" w:hAnsi="Times New Roman"/>
                  <w:sz w:val="20"/>
                </w:rPr>
                <w:t>January 5,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May  27,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w:t>
            </w:r>
            <w:hyperlink r:id="rId10">
              <w:r>
                <w:rPr>
                  <w:rStyle w:val="InternetLink"/>
                  <w:rFonts w:ascii="Times New Roman" w:hAnsi="Times New Roman"/>
                  <w:sz w:val="20"/>
                </w:rPr>
                <w:t>June  3, 2026</w:t>
              </w:r>
            </w:hyperlink>
            <w:r>
              <w:rPr>
                <w:rFonts w:ascii="Times New Roman" w:hAnsi="Times New Roman"/>
                <w:sz w:val="20"/>
              </w:rPr>
              <w:t xml:space="preserve">, </w:t>
            </w:r>
            <w:hyperlink r:id="rId11">
              <w:r>
                <w:rPr>
                  <w:rStyle w:val="InternetLink"/>
                  <w:rFonts w:ascii="Times New Roman" w:hAnsi="Times New Roman"/>
                  <w:sz w:val="20"/>
                </w:rPr>
                <w:t>June  12, 2026</w:t>
              </w:r>
            </w:hyperlink>
            <w:r>
              <w:rPr>
                <w:rFonts w:ascii="Times New Roman" w:hAnsi="Times New Roman"/>
                <w:sz w:val="20"/>
              </w:rPr>
              <w:t xml:space="preserve"> and </w:t>
            </w:r>
            <w:hyperlink r:id="rId12">
              <w:r>
                <w:rPr>
                  <w:rStyle w:val="InternetLink"/>
                  <w:rFonts w:ascii="Times New Roman" w:hAnsi="Times New Roman"/>
                  <w:sz w:val="20"/>
                </w:rPr>
                <w:t>June 29,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The sections of Comcast’s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for the 2026 annual meeting of shareholders incorporated by reference in Comcast’s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2025, filed on April 24,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bidi w:val="0"/>
        <w:spacing w:before="240" w:after="0"/>
        <w:jc w:val="left"/>
        <w:rPr>
          <w:rFonts w:ascii="Times New Roman" w:hAnsi="Times New Roman"/>
          <w:sz w:val="20"/>
        </w:rPr>
      </w:pPr>
      <w:r>
        <w:rPr>
          <w:rFonts w:ascii="Times New Roman" w:hAnsi="Times New Roman"/>
          <w:sz w:val="20"/>
        </w:rPr>
        <w:t xml:space="preserve">To receive timely delivery of the documents prior to the Expiration Date, you should make your request no later than five business days before the date you must make your investment decision, or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44098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provides an overview of selected information. Because this is only a summary, it may not contain all of the information that may be important to you in understanding the Exchange Offer.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Comcast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two primary businesses: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Connectivity</w:t>
            </w:r>
            <w:r>
              <w:rPr>
                <w:rFonts w:ascii="Times New Roman" w:hAnsi="Times New Roman"/>
                <w:sz w:val="20"/>
              </w:rPr>
              <w:t> </w:t>
            </w:r>
            <w:r>
              <w:rPr>
                <w:rFonts w:ascii="Times New Roman" w:hAnsi="Times New Roman"/>
                <w:b/>
                <w:sz w:val="20"/>
              </w:rPr>
              <w:t xml:space="preserve">&amp; Platforms: </w:t>
            </w:r>
            <w:r>
              <w:rPr>
                <w:rFonts w:ascii="Times New Roman" w:hAnsi="Times New Roman"/>
                <w:sz w:val="20"/>
              </w:rPr>
              <w:t xml:space="preserve">Contains our broadband, wireless, video and wireline voice businesses in the United States, United Kingdom and Italy. Also includes the operations of our Sky-branded entertainment television networks in the United Kingdom and Italy. Our Connectivity &amp; Platforms business is reported in two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Residential Connectivity</w:t>
            </w:r>
            <w:r>
              <w:rPr>
                <w:rFonts w:ascii="Times New Roman" w:hAnsi="Times New Roman"/>
                <w:sz w:val="20"/>
              </w:rPr>
              <w:t> </w:t>
            </w:r>
            <w:r>
              <w:rPr>
                <w:rFonts w:ascii="Times New Roman" w:hAnsi="Times New Roman"/>
                <w:b/>
                <w:sz w:val="20"/>
              </w:rPr>
              <w:t xml:space="preserve">&amp; Platforms Segment: </w:t>
            </w:r>
            <w:r>
              <w:rPr>
                <w:rFonts w:ascii="Times New Roman" w:hAnsi="Times New Roman"/>
                <w:sz w:val="20"/>
              </w:rPr>
              <w:t xml:space="preserve">Includes primarily our residential broadband and wireless services, residential and business video services, advertising, residential voice services, and Sky-branded entertainment television networks.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Business Services Connectivity Segment: </w:t>
            </w:r>
            <w:r>
              <w:rPr>
                <w:rFonts w:ascii="Times New Roman" w:hAnsi="Times New Roman"/>
                <w:sz w:val="20"/>
              </w:rPr>
              <w:t xml:space="preserve">Includes our domestic service offerings for small businesses, which include broadband, wireline voice and wireless services, as well as our domestic and international enterprise solutions offerings for medium-sized customers and larger enterprises with multiple locations. We also have certain business services connectivity offerings in the United Kingdom, which are operated under the Sky Business brand.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Content</w:t>
            </w:r>
            <w:r>
              <w:rPr>
                <w:rFonts w:ascii="Times New Roman" w:hAnsi="Times New Roman"/>
                <w:sz w:val="20"/>
              </w:rPr>
              <w:t> </w:t>
            </w:r>
            <w:r>
              <w:rPr>
                <w:rFonts w:ascii="Times New Roman" w:hAnsi="Times New Roman"/>
                <w:b/>
                <w:sz w:val="20"/>
              </w:rPr>
              <w:t>&amp; Experiences:</w:t>
            </w:r>
            <w:r>
              <w:rPr>
                <w:rFonts w:ascii="Times New Roman" w:hAnsi="Times New Roman"/>
                <w:sz w:val="20"/>
              </w:rPr>
              <w:t xml:space="preserve"> Contains our media and entertainment businesses that produce and distribute entertainment, sports, news and other content for global audiences and that own and operate theme parks and attractions in the United States and Asia. Our Content &amp; Experiences business is reported in three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Media Segment</w:t>
            </w:r>
            <w:r>
              <w:rPr>
                <w:rFonts w:ascii="Times New Roman" w:hAnsi="Times New Roman"/>
                <w:sz w:val="20"/>
              </w:rPr>
              <w:t xml:space="preserve">: Includes primarily NBCUniversal’s national cable networks, NBC and Telemundo broadcast networks and owned local broadcast television stations, Peacock direct-to-consumer streaming service and international television networks, including Sky Sports networks in the United Kingdom and Italy.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Studios Segment: </w:t>
            </w:r>
            <w:r>
              <w:rPr>
                <w:rFonts w:ascii="Times New Roman" w:hAnsi="Times New Roman"/>
                <w:sz w:val="20"/>
              </w:rPr>
              <w:t xml:space="preserve">Includes primarily our NBCUniversal and Sky film and television studio production and distribution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Theme Parks Segment:</w:t>
            </w:r>
            <w:r>
              <w:rPr>
                <w:rFonts w:ascii="Times New Roman" w:hAnsi="Times New Roman"/>
                <w:sz w:val="20"/>
              </w:rPr>
              <w:t xml:space="preserve"> Includes primarily the operations of the following Universal theme parks: Universal Orlando Resort, Universal Studios Hollywood, Universal Studios Japan and Universal Beijing Resort.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other business interests consist primarily of our regional sports networks and Comcast Spectacor, which owns the Philadelphia Flyers and the Xfinity Mobile Arena in Philadelphia,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Guarantors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guarantees will not contain any restrictions on the ability of any guarantor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 Cable Communications’ principal place of business is One Comcast Center, Philadelphia, Pennsylvania 19103-2838. NBCUniversal’s principal executive offices are located at 30 Rockefeller Plaza, New York, New York 10112-0015.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Offeror </w:t>
            </w:r>
          </w:p>
        </w:tc>
        <w:tc>
          <w:tcPr>
            <w:tcW w:w="6326" w:type="dxa"/>
            <w:tcBorders/>
          </w:tcPr>
          <w:p>
            <w:pPr>
              <w:pStyle w:val="TableContents"/>
              <w:bidi w:val="0"/>
              <w:spacing w:before="0" w:after="283"/>
              <w:jc w:val="left"/>
              <w:rPr/>
            </w:pPr>
            <w:r>
              <w:rPr/>
              <w:t xml:space="preserve">Comcast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Exchange Offer </w:t>
            </w:r>
          </w:p>
        </w:tc>
        <w:tc>
          <w:tcPr>
            <w:tcW w:w="6328" w:type="dxa"/>
            <w:tcBorders/>
          </w:tcPr>
          <w:p>
            <w:pPr>
              <w:pStyle w:val="TableContents"/>
              <w:bidi w:val="0"/>
              <w:spacing w:before="0" w:after="283"/>
              <w:jc w:val="left"/>
              <w:rPr/>
            </w:pPr>
            <w:r>
              <w:rPr/>
              <w:t xml:space="preserve">We are offering to exchange our Exchange Notes which have been registered under the Securities Act for a like principal amount of our outstanding unregistered Original Notes. Original Notes may only be tendered in an amount equal to $2,000 in principal amount and in integral multiples of $1,000 thereafter. See “The Exchange Offer” for more information on the 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Resale of Exchange Notes </w:t>
            </w:r>
          </w:p>
        </w:tc>
        <w:tc>
          <w:tcPr>
            <w:tcW w:w="6328" w:type="dxa"/>
            <w:tcBorders/>
          </w:tcPr>
          <w:p>
            <w:pPr>
              <w:pStyle w:val="TableContents"/>
              <w:bidi w:val="0"/>
              <w:spacing w:before="0" w:after="283"/>
              <w:jc w:val="left"/>
              <w:rPr/>
            </w:pPr>
            <w:r>
              <w:rPr/>
              <w:t xml:space="preserve">We have not entered into any arrangement or understanding with any person to distribute the Exchange Notes to be received in the Exchange Offer and, to the best of our information and belief, each person that will participate in the Exchange Offer will acquire the Exchange Notes in its ordinary course of business and has no arrangement or understanding with any person to participate in the distribution of the Exchange Notes to be received in the Exchange Offer. Based upon the position of the staff of the SEC as described in previous no-action letters and subject to the immediately following sentence, we believe that Exchange Notes issued pursuant to the Exchange Offer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1"/>
        <w:gridCol w:w="6125"/>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Original Notes that you acquired directly from us for your own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under Rule 405 of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However, any purchaser of Exchange Notes who is an affiliate of ours or who intends to participate in the Exchange Offer for the purpose of distributing the Exchange Notes (i) will not be able to rely on the interpretations of the SEC staff set forth in the above-mentioned no-action letters, (ii) will not be entitled to tender its Original Notes in the Exchange Offer and (iii) must comply with the registration and prospectus delivery requirements of the Securities Act in connection with any sale or transfer of the Exchange Notes unless such sale or transfer is made pursuant to an exemption from such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 the Securities Act in connection with any resale of such Exchange Notes.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Purpose of the Exchange Offer </w:t>
            </w:r>
          </w:p>
        </w:tc>
        <w:tc>
          <w:tcPr>
            <w:tcW w:w="6328" w:type="dxa"/>
            <w:tcBorders/>
          </w:tcPr>
          <w:p>
            <w:pPr>
              <w:pStyle w:val="TableContents"/>
              <w:bidi w:val="0"/>
              <w:spacing w:before="0" w:after="283"/>
              <w:jc w:val="left"/>
              <w:rPr/>
            </w:pPr>
            <w:r>
              <w:rPr/>
              <w:t xml:space="preserve">The purpose of the Exchange Offer is to satisfy our obligations under registration rights agreements, dated as of October 2, 2025 and October 9, 2025 (each a “Registration Right Agreement” and together, the “Registration Rights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Consequences If You Do Not Exchange Your Original Notes </w:t>
            </w:r>
          </w:p>
        </w:tc>
        <w:tc>
          <w:tcPr>
            <w:tcW w:w="6327" w:type="dxa"/>
            <w:tcBorders/>
          </w:tcPr>
          <w:p>
            <w:pPr>
              <w:pStyle w:val="TableContents"/>
              <w:bidi w:val="0"/>
              <w:spacing w:before="0" w:after="283"/>
              <w:jc w:val="left"/>
              <w:rPr/>
            </w:pPr>
            <w:r>
              <w:rPr/>
              <w:t xml:space="preserve">Original Notes that are not tendered in the Exchange Offer or are not accepted for exchange will continue to bear legends restricting their transfer. You will not be able to offer or sell such Original Notes unless: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able to rely on an exemption from the requirements of the Securities Act;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Notes are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To the extent that Original Notes are tendered and accepted in the Exchange Offer , the trading market for any remaining Original Notes may (and likely will) be adversely affected. See “Risk Factors—Risks Relating to Participation in the Exchange Offer—If you fail to exchange your Original Notes, they will continue to be restricted securities and may become less liquid.”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After the Exchange Offer is complete, you will not have any further rights under the Registration Rights Agreements, including any right to require us to register any outstanding Original Notes that you do not exchange (except under limited circumstances) or to pay you the additional interest we agreed to pay to holders of Original Notes if we failed to timely commence and complete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Accrued and Unpaid Interest </w:t>
            </w:r>
          </w:p>
        </w:tc>
        <w:tc>
          <w:tcPr>
            <w:tcW w:w="6329" w:type="dxa"/>
            <w:tcBorders/>
          </w:tcPr>
          <w:p>
            <w:pPr>
              <w:pStyle w:val="TableContents"/>
              <w:bidi w:val="0"/>
              <w:spacing w:before="0" w:after="283"/>
              <w:jc w:val="left"/>
              <w:rPr/>
            </w:pPr>
            <w:r>
              <w:rPr/>
              <w:t xml:space="preserve">The Exchange Notes will bear interest from the most recent date on which interest on the Original Notes has been paid (July 15, 2026). If your Original Notes are accepted for exchange, you will receive interest on the corresponding Exchange Notes and not on the Original Notes. Any Original Notes not tendered will remain outstanding and continue to accrue interest according to their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Expiration Date </w:t>
            </w:r>
          </w:p>
        </w:tc>
        <w:tc>
          <w:tcPr>
            <w:tcW w:w="6326" w:type="dxa"/>
            <w:tcBorders/>
          </w:tcPr>
          <w:p>
            <w:pPr>
              <w:pStyle w:val="TableContents"/>
              <w:bidi w:val="0"/>
              <w:spacing w:before="0" w:after="283"/>
              <w:jc w:val="left"/>
              <w:rPr/>
            </w:pPr>
            <w:r>
              <w:rPr/>
              <w:t xml:space="preserve">The Expiration Date of the Exchange Offer will be 11:59 p.m., New York City time,    on    , 2026, unless extended or earlier terminated by us. The term “Expiration Date” means such date and time or, if we extend the Exchange Offer, the latest date and time to which we extend such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Date </w:t>
            </w:r>
          </w:p>
        </w:tc>
        <w:tc>
          <w:tcPr>
            <w:tcW w:w="6328" w:type="dxa"/>
            <w:tcBorders/>
          </w:tcPr>
          <w:p>
            <w:pPr>
              <w:pStyle w:val="TableContents"/>
              <w:bidi w:val="0"/>
              <w:spacing w:before="0" w:after="283"/>
              <w:jc w:val="left"/>
              <w:rPr/>
            </w:pPr>
            <w:r>
              <w:rPr/>
              <w:t xml:space="preserve">The settlement of the Exchange Offer will occur promptly after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the Exchange Offer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is subject to customary conditions described in “The Exchange Offer—Conditions to the Exchange Offer,” including, among other things, the condition that no stop order has been issued for the registration statement of which this prospectus forms a part, or any proceedings for that purpose, and that there shall not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occurred or be reasonably likely to occur any material adverse change to our business, operations, properties, condition, assets, liabilities, prospects or financial affairs.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Exchange Offer is not subject to any federal or state regulatory requirements or approvals other than securities laws and blue sky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Extension; Waivers and Amendments </w:t>
            </w:r>
          </w:p>
        </w:tc>
        <w:tc>
          <w:tcPr>
            <w:tcW w:w="6328" w:type="dxa"/>
            <w:tcBorders/>
          </w:tcPr>
          <w:p>
            <w:pPr>
              <w:pStyle w:val="TableContents"/>
              <w:bidi w:val="0"/>
              <w:spacing w:before="0" w:after="283"/>
              <w:jc w:val="left"/>
              <w:rPr/>
            </w:pPr>
            <w:r>
              <w:rPr/>
              <w:t xml:space="preserve">Subject to applicable law, we reserve the right to (1) extend the Exchange Offer; (2) waive any and all conditions to or amend the Exchange Offer in any respect (except as to the condition that the registration statement of which this prospectus forms a part not being subject to a stop order or any proceedings for that purpose, which condition we cannot waive); or (3) terminate the Exchange Offer. Any extension, waiver, amendment or termination will be followed as promptly as practicable by a public announcement thereof, such announcement, in the case of an extension, to be issued no later than 9:00 a.m., New York City time, on the next business day after the last previously scheduled Expiration Date. See “The Exchange Offer—Expiration Date; Extension; Termination; Amendment.”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Exchange Notes </w:t>
            </w:r>
          </w:p>
        </w:tc>
        <w:tc>
          <w:tcPr>
            <w:tcW w:w="6328" w:type="dxa"/>
            <w:tcBorders/>
          </w:tcPr>
          <w:p>
            <w:pPr>
              <w:pStyle w:val="TableContents"/>
              <w:bidi w:val="0"/>
              <w:spacing w:before="0" w:after="283"/>
              <w:jc w:val="left"/>
              <w:rPr/>
            </w:pPr>
            <w:r>
              <w:rPr/>
              <w:t xml:space="preserve">The terms of the Exchange Notes are described in this prospectus under “Description of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Procedures for Tendering the Original Notes </w:t>
            </w:r>
          </w:p>
        </w:tc>
        <w:tc>
          <w:tcPr>
            <w:tcW w:w="6327" w:type="dxa"/>
            <w:tcBorders/>
          </w:tcPr>
          <w:p>
            <w:pPr>
              <w:pStyle w:val="TableContents"/>
              <w:bidi w:val="0"/>
              <w:spacing w:before="0" w:after="283"/>
              <w:jc w:val="left"/>
              <w:rPr/>
            </w:pPr>
            <w:r>
              <w:rPr/>
              <w:t xml:space="preserve">You may tender your Original Notes by transferring them through The Depository Trust Company’s (the “DTC”) Automated Tender Offer Program (“ATOP”) as described under “The Exchange Offer—Procedures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For further information, call the Exchange Agent at the telephone numbers set forth under “The Exchange Agent” or consult your broker, dealer, commercial bank, trust company or other nominee for assistance.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are a beneficial owner of Original Notes that are held by or registered in the name of a broker, dealer, commercial bank, trust company or other nominee or custodian and you wish to tender your Original Notes in order to participate in the Exchange Offer, you should contact your intermediary entity promptly and instruct it to tender the Original Notes on your behalf. You should keep in mind that your intermediary may require you to take action with respect to the Exchange Offer a number of days before the Expiration Date in order for such entity to tender Original Notes on your behalf at or prior to the Expiration Date in accordance with the terms of the Exchange Offer. See “The Exchange Offer—Procedures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beneficial owner of Original Notes through Euroclear or Clearstream Luxembourg (each as defined herein) and wish to tender your Original Notes, you must instruct Euroclear or Clearstream Luxembourg, as the case may be, to block the account in respect of the tendered Original Notes in accordance with the procedures established by Euroclear or Clearstream Luxembourg. You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encouraged to contact Euroclear or Clearstream Luxembourg directly to ascertain their 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Withdrawal Rights; Non-Acceptance </w:t>
            </w:r>
          </w:p>
        </w:tc>
        <w:tc>
          <w:tcPr>
            <w:tcW w:w="6330" w:type="dxa"/>
            <w:tcBorders/>
          </w:tcPr>
          <w:p>
            <w:pPr>
              <w:pStyle w:val="TableContents"/>
              <w:bidi w:val="0"/>
              <w:spacing w:before="0" w:after="283"/>
              <w:jc w:val="left"/>
              <w:rPr/>
            </w:pPr>
            <w:r>
              <w:rPr/>
              <w:t xml:space="preserve">You may withdraw your tender of Original Notes at any time prior to the Expiration Date. In the event that tendered Original Notes are not withdrawn and not accepted by us for exchange, such Original Notes will be promptly returned to such holders or credited to such holders’ DTC account in the same manner as tendered to us, unless a holder has indicated other delivery instructions in the related computer- generated message. See “The Exchange Offer—Withdrawal of Tenders” and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Absence of Dissenters’ Rights of Appraisal </w:t>
            </w:r>
          </w:p>
        </w:tc>
        <w:tc>
          <w:tcPr>
            <w:tcW w:w="6328" w:type="dxa"/>
            <w:tcBorders/>
          </w:tcPr>
          <w:p>
            <w:pPr>
              <w:pStyle w:val="TableContents"/>
              <w:bidi w:val="0"/>
              <w:spacing w:before="0" w:after="283"/>
              <w:jc w:val="left"/>
              <w:rPr/>
            </w:pPr>
            <w:r>
              <w:rPr/>
              <w:t xml:space="preserve">You do not have dissenters’ rights of appraisal with respect to the Exchange Offer. See “The Exchange Offer—Absence of Dissenters’ Rights of Appraisal.”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U.S. Federal Income Tax Considerations </w:t>
            </w:r>
          </w:p>
        </w:tc>
        <w:tc>
          <w:tcPr>
            <w:tcW w:w="6328" w:type="dxa"/>
            <w:tcBorders/>
          </w:tcPr>
          <w:p>
            <w:pPr>
              <w:pStyle w:val="TableContents"/>
              <w:bidi w:val="0"/>
              <w:spacing w:before="0" w:after="283"/>
              <w:jc w:val="left"/>
              <w:rPr/>
            </w:pPr>
            <w:r>
              <w:rPr/>
              <w:t xml:space="preserve">The exchange of notes pursuant to the Exchange Offer generally should not be a taxable event for U.S. federal income tax purposes. See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Accounting Treatment </w:t>
            </w:r>
          </w:p>
        </w:tc>
        <w:tc>
          <w:tcPr>
            <w:tcW w:w="6328" w:type="dxa"/>
            <w:tcBorders/>
          </w:tcPr>
          <w:p>
            <w:pPr>
              <w:pStyle w:val="TableContents"/>
              <w:bidi w:val="0"/>
              <w:spacing w:before="0" w:after="283"/>
              <w:jc w:val="left"/>
              <w:rPr/>
            </w:pPr>
            <w:r>
              <w:rPr/>
              <w:t xml:space="preserve">The Exchange Notes will be recorded at the same carrying value as the Original Notes as reflected in our accounting records on the date of the exchange. Accordingly, we will not recognize any gain or loss for accounting purposes upon the completion of the Exchange Offer. Payments made to other third parties will be expensed as incurred in accordance with generally accepted accounting principles. See “The Exchange Offer—Accounting Treatment.”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Agent </w:t>
            </w:r>
          </w:p>
        </w:tc>
        <w:tc>
          <w:tcPr>
            <w:tcW w:w="6330" w:type="dxa"/>
            <w:tcBorders/>
          </w:tcPr>
          <w:p>
            <w:pPr>
              <w:pStyle w:val="TableContents"/>
              <w:bidi w:val="0"/>
              <w:spacing w:before="0" w:after="283"/>
              <w:jc w:val="left"/>
              <w:rPr/>
            </w:pPr>
            <w:r>
              <w:rPr/>
              <w:t xml:space="preserve">The Bank of New York Mellon is the Exchange Agent for the Exchange Offer. See “The Exchange Agent”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Information </w:t>
            </w:r>
          </w:p>
        </w:tc>
        <w:tc>
          <w:tcPr>
            <w:tcW w:w="6329" w:type="dxa"/>
            <w:tcBorders/>
          </w:tcPr>
          <w:p>
            <w:pPr>
              <w:pStyle w:val="TableContents"/>
              <w:bidi w:val="0"/>
              <w:spacing w:before="0" w:after="283"/>
              <w:jc w:val="left"/>
              <w:rPr/>
            </w:pPr>
            <w:r>
              <w:rPr/>
              <w:t xml:space="preserve">See “The Exchange Offer” for more information concerning the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Exchange Notes. It does not contain all of the information that may be important to you. For a more complete description of the terms of the Exchange Notes, see “Description of Exchange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Comcast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Notes </w:t>
            </w:r>
          </w:p>
        </w:tc>
        <w:tc>
          <w:tcPr>
            <w:tcW w:w="6330" w:type="dxa"/>
            <w:tcBorders/>
          </w:tcPr>
          <w:p>
            <w:pPr>
              <w:pStyle w:val="TableContents"/>
              <w:bidi w:val="0"/>
              <w:spacing w:before="0" w:after="283"/>
              <w:jc w:val="left"/>
              <w:rPr/>
            </w:pPr>
            <w:r>
              <w:rPr/>
              <w:t xml:space="preserve">The terms of the Original Notes and the Exchange Notes are identical, except the Exchange Notes offered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have been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have transfer restrictions and registration rights that relate to the Original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have rights relating to the payment of additional interest to holders of Original Notes if we fail to timely commence and complete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7" w:type="dxa"/>
            <w:tcBorders/>
          </w:tcPr>
          <w:p>
            <w:pPr>
              <w:pStyle w:val="TableContents"/>
              <w:bidi w:val="0"/>
              <w:spacing w:before="0" w:after="283"/>
              <w:jc w:val="left"/>
              <w:rPr/>
            </w:pPr>
            <w:r>
              <w:rPr/>
              <w:t xml:space="preserve">5.168% Notes due 2037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6" w:type="dxa"/>
            <w:tcBorders/>
          </w:tcPr>
          <w:p>
            <w:pPr>
              <w:pStyle w:val="TableContents"/>
              <w:bidi w:val="0"/>
              <w:spacing w:before="0" w:after="283"/>
              <w:jc w:val="left"/>
              <w:rPr/>
            </w:pPr>
            <w:r>
              <w:rPr/>
              <w:t xml:space="preserve">January 15,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9" w:type="dxa"/>
            <w:tcBorders/>
          </w:tcPr>
          <w:p>
            <w:pPr>
              <w:pStyle w:val="TableContents"/>
              <w:bidi w:val="0"/>
              <w:spacing w:before="0" w:after="283"/>
              <w:jc w:val="left"/>
              <w:rPr/>
            </w:pPr>
            <w:r>
              <w:rPr/>
              <w:t xml:space="preserve">Interest on the Exchange Notes will accrue at the rate of 5.168% per year, payable semiannually in cash in arrears on January 15 and July 15, beginning January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Exchange Notes will accrue from July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Exchange Notes will be unsecured and will rank equally with all of our and the guarantors’ unsecured and unsubordinated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Guarantors </w:t>
            </w:r>
          </w:p>
        </w:tc>
        <w:tc>
          <w:tcPr>
            <w:tcW w:w="6327" w:type="dxa"/>
            <w:tcBorders/>
          </w:tcPr>
          <w:p>
            <w:pPr>
              <w:pStyle w:val="TableContents"/>
              <w:bidi w:val="0"/>
              <w:spacing w:before="0" w:after="283"/>
              <w:jc w:val="left"/>
              <w:rPr/>
            </w:pPr>
            <w:r>
              <w:rPr/>
              <w:t xml:space="preserve">Comcast Cable Communications and NBCUniversal.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Guarantees </w:t>
            </w:r>
          </w:p>
        </w:tc>
        <w:tc>
          <w:tcPr>
            <w:tcW w:w="6327" w:type="dxa"/>
            <w:tcBorders/>
          </w:tcPr>
          <w:p>
            <w:pPr>
              <w:pStyle w:val="TableContents"/>
              <w:bidi w:val="0"/>
              <w:spacing w:before="0" w:after="283"/>
              <w:jc w:val="left"/>
              <w:rPr/>
            </w:pPr>
            <w:r>
              <w:rPr/>
              <w:t xml:space="preserve">The guarantors will fully and unconditionally guarantee the Exchange Notes, including the payment of principal, premium, if any, and interest. The guarantees will rank equally with all other general unsecured and unsubordinated obligations of the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the Exchange Notes, in whole or in part, at any time at the redemption price determined as set forth under the heading “Description of the Notes— Optional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4409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the Exchange Notes involves a high degree of risk, including but not limited to the risks described below. In addition, you should carefully consider, among other things, the matters discussed under “Item 1A—Risk Factors” beginning on page 19 of our Annual Report on Form 10-K for the fiscal year ended December 31, 2025 and “Item 1A—Risk Factors” beginning on page 37 of our Quarterly Report on Form 10-Q for the quarter ended June 30, 2026,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 looking statements and our actual results may differ substantially from those discussed in these forward-looking statements. See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board of directors has not made a recommendation as to whether you should tender your Original Notes in exchange for Exchange Notes in the Exchange Offer, and we have not obtained a third-party determination that the Exchange Offer is fair to holders of our Original Notes.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not made, and will not make, any recommendation as to whether holders of Original Notes should tender their Original Notes in exchange for Exchange Notes pursuant to the Exchange Offer. We have not retained, and do not intend to retain, any unaffiliated representative to act solely on behalf of the holders of the Original Notes for purposes of negotiating the terms of the Exchange Offer, or preparing a report or making any recommendation concerning the fairness of the Exchange Offer. Therefore, if you tender your Original Notes, you may not receive more than or as much value as if you chose to keep them. Holders of Original Notes must make their own independent decisions regarding their participation in the Exchange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Exchange Notes, during which time those holders of the Original Notes will not be able to effect transfers of their Original Notes tendered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fail to exchange your Original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 xml:space="preserve">Original Notes that you do not tender or that we do not accept will, following the Exchange Offer,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 only following the satisfaction of the procedures and conditions set forth in “The Exchange Offer—Conditions to the Exchange Offer” and “The Exchange Offer—Procedures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we anticipate that most holders of Original Notes will elect to exchange their Original Notes, we expect that the liquidity of the market for any Original Notes remaining after the completion of the Exchange Offer will be substantially limited. Any Original Notes tendered and exchanged in the Exchange Offer will reduce the aggregate principal amount of the Original Notes outstanding. Following the Exchange Offer, if you do not tender your Original Notes, you generally will not have any further registration rights, and your Original Notes will continue to be subject to certain transfer restrictions. Accordingly, the liquidity of the market for the Original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 active trading market does not develop for the Exchange Notes, you may be unable to sell the Exchange Notes or to sell them at a price you deem sufficient.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repurchase any Original Notes that are not accepted for purchase and exchange in the Exchange Offer in future transactions on terms that are more favorable to the holders of the Original Notes than the 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after completion of the Exchange Offer,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 Any future purchases or exchanges by us will depend on various factors existing at that time. There can be no assurance as to which, if any, of these alternatives (or combinations thereof) we may choose to pursue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noteholders may be required to comply with the registration and prospectus delivery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If you exchange your Original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4409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intended to satisfy our obligations under the Registration Rights Agreements entered into in connection with the issuance of the Original Notes. We will not receive any cash proceeds from the issuance of the Exchange Notes in the Exchange Offer. The Original Notes surrendered and exchanged for the Exchange Notes will be retired and canceled.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4098_8"/>
      <w:bookmarkEnd w:id="10"/>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exchange our 5.168% Notes due 2037, which have been registered under the Securities Act and which we refer to as the “Exchange Notes,” for our outstanding 5.168% Notes due 2037, which have not been so registered and which we refer to as the “Original Notes.” We refer to this exchange offer as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2025, Comcast consummated prior private offers to exchange its 5.350% Notes due 2027, 3.150% Notes due 2028, 3.550% Notes due 2028, 3.300% Notes due 2027 and 5.100% Notes due 2029 for up to $1,750,000,000 in aggregate principal amount of the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2025, Comcast consummated prior private offers to exchange its 4.150% Notes due 2028 and 4.550% Notes due 2029 for up to $1,000,000,000 in aggregate principal amount of the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previous exchange offers, Comcast and the guarantors entered into the Registration Rights Agreements, with Deutsche Bank Securities Inc. and Goldman Sachs &amp; Co. LLC, as joint-lead dealer managers and as representatives of the several dealer managers for the previous exchange offers, whom we refer to collectively as the “Dealer Managers.” Under the Registration Rights Agreements, we agreed to file and to use our reasonable efforts to have declared effective the exchange offer registration statement under the Securities Act and to consummate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the Exchange Offer in reliance on the position of the SEC as set forth in </w:t>
      </w:r>
      <w:r>
        <w:rPr>
          <w:rFonts w:ascii="Times New Roman" w:hAnsi="Times New Roman"/>
          <w:i/>
          <w:sz w:val="20"/>
        </w:rPr>
        <w:t>Exxon Capital Holdings Corporation</w:t>
      </w:r>
      <w:r>
        <w:rPr>
          <w:rFonts w:ascii="Times New Roman" w:hAnsi="Times New Roman"/>
          <w:sz w:val="20"/>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Any holder of the Original Notes using the Exchange Offer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See “Plan of Distribution.” You may not participate in the Exchange Offer if you are a broker-dealer tendering Original Notes that you acquired directly from us for your own account.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this prospectus, this prospectus may not be used for an offer to resell, resale or other transfer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being made to, nor will we accept tenders for exchange from, holders of Original Notes in any jurisdiction in which the Exchange Offer or the acceptance of them would not be in compliance with the securities or blue sky laws of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in exchange for Original Notes, where such Original Notes were acquired by such broker-dealer as a result of market-making activities or other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 </w:t>
      </w:r>
    </w:p>
    <w:p>
      <w:pPr>
        <w:pStyle w:val="TextBody"/>
        <w:bidi w:val="0"/>
        <w:spacing w:before="360" w:after="0"/>
        <w:jc w:val="left"/>
        <w:rPr>
          <w:rFonts w:ascii="Times New Roman" w:hAnsi="Times New Roman"/>
          <w:b/>
          <w:sz w:val="20"/>
        </w:rPr>
      </w:pPr>
      <w:r>
        <w:rPr>
          <w:rFonts w:ascii="Times New Roman" w:hAnsi="Times New Roman"/>
          <w:b/>
          <w:sz w:val="20"/>
        </w:rPr>
        <w:t xml:space="preserve">Resale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arrangement or understanding with any person to distribute the Exchange Notes to be received in the Exchange Offer and, to the best of our information and belief, each person that will participate in the Exchange Offer will acquire the Exchange Notes in its ordinary course of business and has no arrangement or understanding with any person to participate in the distribution of the Exchange Notes to be received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position of the staff of the SEC as described in previous no-action letters and subject to the immediately following sentence, we believe that Exchange Notes issued pursuant to the Exchange Offer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Original Notes that you acquired directly from us for your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under Rule 405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any purchaser of Exchange Notes who is an affiliate of ours or who intends to participate in the Exchange Offer for the purpose of distributing the Exchange Notes (i) will not be able to rely on the interpretations of the SEC staff set forth in the above-mentioned no-action letters, (ii) will not be entitled to tender its Original Notes in the Exchange Offer and (iii) must comply with the registration and prospectus delivery requirements of the Securities Act in connection with any sale or transfer of the Exchange Notes unless such sale or transfer is made pursuant to an exemption from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broker-dealers, any broker-dealer who holds any Original Notes acquired for its own account as a result of market-making activities or other trading activities may participate in the Exchange Offer so long as the broker-dealer has not entered into any arrangement or understanding with us or an affiliate of ours to distribute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Based on the terms and subject to the conditions of the Exchange Offer, we will accept any and all Original Notes validly tendered prior to 11:59 p.m., New York City time, on the Expiration Date for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minimum denomination requirements of the Exchange Notes, we will issue $1,000 principal amount of Exchange Notes in exchange for each $1,000 principal amount of outstanding Original Notes validly tendered pursuant to the Exchange Offer on or before the Expiration Date and not validly withdrawn. Holders may tender some or all of the Original Notes pursuant to the Exchange Offer. However, Original Notes may be tendered only in minimum denominations of $2,000 and multiples of $1,000 thereafter. Promptly after the Expiration Date (unless extended as described in this prospectus), we will issue an aggregate principal amount of up to $1,172,013,000 of Exchange Notes for a like principal amount of outstanding Original Notes tendered and accepted in connection with the Exchange Offer. The Exchange Notes issued in connection with the Exchange Offer will be delivered promptly after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Exchange Notes will be substantially identical to the terms of the Original Notes,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the Exchange Notes will have been registered under the Securities Act and, therefore, the Exchange Notes will not bear legends restricting the transfer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the Exchange Notes will not be entitled to any rights under the Registration Rights Agreements, which rights will terminate upon the consummation of the Exchange Offer, or to the additional interest provisions of the Registration Rights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evidence the same debt as the Original Notes and will be issued under the same indenture and be entitled to the same benefits under that indenture as the Original Notes being exchanged. As of the date of this prospectus, $1,172,013,000 in aggregate principal amount of the Original Notes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Notes—Book-Entry System,” Exchange Notes will be issued in the form of one or more global notes registered in the name of DTC or its nominee and each beneficial owner’s interest in it will be transferable in book-entry form through DTC. See “Description of Exchange Notes—Book-Entry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Holders of Original Notes do not have any appraisal or dissenters’ rights in connection with the Exchange Offer. Original Notes that are not tendered for exchange or are tendered but not accepted in connection with the Exchange Offer will remain outstanding and be entitled to the benefits of our Indenture (as defined below), but certain registration and other rights under the Registration Rights Agreements will terminate and holders of the Original Notes will generally not be entitled to any registration rights under the Registration Rights Agreements. See “—Consequences of Failure to Properly Tender Original Notes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 </w:t>
      </w:r>
    </w:p>
    <w:p>
      <w:pPr>
        <w:pStyle w:val="TextBody"/>
        <w:bidi w:val="0"/>
        <w:spacing w:before="240" w:after="0"/>
        <w:jc w:val="left"/>
        <w:rPr>
          <w:rFonts w:ascii="Times New Roman" w:hAnsi="Times New Roman"/>
          <w:sz w:val="20"/>
        </w:rPr>
      </w:pPr>
      <w:r>
        <w:rPr>
          <w:rFonts w:ascii="Times New Roman" w:hAnsi="Times New Roman"/>
          <w:sz w:val="20"/>
        </w:rPr>
        <w:t xml:space="preserve">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Holders who tender Original Notes will not be required to pay brokerage commissions or fees or transfer taxes on exchange of Original Notes in connection with the Exchange Offer, except as described under “—Fees and Expenses” and “—Transfer Taxes.”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Termination;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is 11:59 p.m., New York City time, on    , 2026, unless extended by us in our sole discretion, in which case the term “Expiration Date” shall mean the latest date and time to which the Exchange Offer is extended with respect to the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applicable law, we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delay accepting any Original Notes, to extend the Exchange Offer or to terminate the Exchange Offer if, in our reasonable judgment, any of the conditions described below shall not have been satisfied, by giving oral (to be followed by prompt written notice) or written notice of the delay, extension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the terms of the Exchange Offer in any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amend the Exchange Offer in a manner that we consider material, we will disclose such amendment by means of a prospectus supplement, and we will extend the Exchange Offer for a period of five to ten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If we determine to extend, amend or terminate the Exchange Offer, we will publicly announce this determination by making a timely release through an appropriate news agency. </w:t>
      </w:r>
    </w:p>
    <w:p>
      <w:pPr>
        <w:pStyle w:val="TextBody"/>
        <w:bidi w:val="0"/>
        <w:spacing w:before="240" w:after="0"/>
        <w:jc w:val="left"/>
        <w:rPr>
          <w:rFonts w:ascii="Times New Roman" w:hAnsi="Times New Roman"/>
          <w:sz w:val="20"/>
        </w:rPr>
      </w:pPr>
      <w:r>
        <w:rPr>
          <w:rFonts w:ascii="Times New Roman" w:hAnsi="Times New Roman"/>
          <w:sz w:val="20"/>
        </w:rPr>
        <w:t xml:space="preserve">If we delay accepting any Original Notes or terminate the Exchange Offer, we promptly will pay the consideration offered, or return any Original Notes deposited, pursuant to the Exchange Offer as required by Rule 14e-1(c).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bear interest at the rate of 5.168% per annum from the most recent date to which interest on the Original Notes has been paid (July 15, 2026). Interest will be payable semiannually in arrears on January 15 and July 15 of each year, commencing on January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the Exchange Offer, or any extension of the Exchange Offer, we will not be required to accept for exchange, or to exchange any Exchange Notes for, any Original Notes and we may terminate the Exchange Offer or, at our option, modify, extend or otherwise amend the Exchange Offer, if any of the following conditions are not satisfied at or prior to the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reasonable judgment, no action or event has occurred or been threatened (including a default under an agreement, indenture or other instrument or obligation to which we or one of our affiliates is a party or by which we or any of our affiliates is bound), no action is pending, no action has been taken, and no statute, rule, regulation, judgment, order, stay, decree or injunction has been promulgated, enacted, entered, enforced or deemed applicable to the Exchange Offer or the exchange of Original Notes for Exchange Notes under the Exchange Offer by or before any court or governmental regulatory or administrative agency, authority, or tribunal, which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the making of the Exchange Offer or the exchange of Original Notes for Exchange Notes under the Exchange Offer or might, directly or indirectly, prohibit, prevent, restrict or delay consummation of, or might otherwise adversely affect in any material manner, the Exchange Offer or the exchange of Original Notes for Exchange Notes under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 or the exchange of Original Notes for Exchange Notes under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following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has issued a stop order which would suspend the effectiveness of the registration statement of which this prospectus forms a part or the qualification of the applicable indenture governing the Exchange Notes under the Trust Indenture Act of 1939;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suspension of, or limitation on, trading in securities on any United States national securities exchanges or in the over the counter market (whether or not mandatory);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declaration of a banking moratorium or any suspension of payments in respect of banks by federal or state authorities in the United States (whether or not mandatory);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adverse change in the United States’ securities or financial markets generally;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of the foregoing existing at the time of the commencement of the Exchange Offer, a material acceleration or worsening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(as defined below) under our Indenture has not objected in any respect to, or taken any action that could in our reasonable judgment adversely affect the consummation of, any of the Exchange Offer, nor has the Trustee taken any action that challenges the validity or effectiveness of the procedures used by us in making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to amend or terminate the Exchange Offer and to reject for exchange any Original Notes not previously accepted for exchange, upon the occurrence of any of the conditions of the Exchange Offer specified above. We will give oral or written notice (with any oral notice to be promptly confirmed in writing) of any amendment, non-acceptance, termination or waiver to the Exchange Agent as promptly as practicable, followed by a timely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All conditions to the Exchange Offer must be satisfied or, where permitted, waived at or by the Expiration Date. In addition, we may in our absolute discretion, subject to applicable law, terminate the Exchange Offer for any other reason. </w:t>
      </w:r>
    </w:p>
    <w:p>
      <w:pPr>
        <w:pStyle w:val="TextBody"/>
        <w:bidi w:val="0"/>
        <w:spacing w:before="240" w:after="0"/>
        <w:jc w:val="left"/>
        <w:rPr>
          <w:rFonts w:ascii="Times New Roman" w:hAnsi="Times New Roman"/>
          <w:sz w:val="20"/>
        </w:rPr>
      </w:pPr>
      <w:r>
        <w:rPr>
          <w:rFonts w:ascii="Times New Roman" w:hAnsi="Times New Roman"/>
          <w:sz w:val="20"/>
        </w:rPr>
        <w:t xml:space="preserve">If any of the foregoing conditions are not satisfied, we may, at any time at or prior to the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promptly return all tendered Original Notes to the respective tendering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extend or otherwise amend the Exchange Offer and retain all tendered Original Notes until the Expiration Date, as extended, subject, however, to the withdrawal rights of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the unsatisfied conditions, except for the condition that the registration statement of which this prospectus forms a part is not subject to a stop order or any proceedings for that purpose, and accept all Original Notes tendered and not previously validly withdrawn.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of Tender </w:t>
      </w:r>
    </w:p>
    <w:p>
      <w:pPr>
        <w:pStyle w:val="TextBody"/>
        <w:bidi w:val="0"/>
        <w:spacing w:before="120" w:after="0"/>
        <w:jc w:val="left"/>
        <w:rPr>
          <w:rFonts w:ascii="Times New Roman" w:hAnsi="Times New Roman"/>
          <w:sz w:val="20"/>
        </w:rPr>
      </w:pPr>
      <w:r>
        <w:rPr>
          <w:rFonts w:ascii="Times New Roman" w:hAnsi="Times New Roman"/>
          <w:sz w:val="20"/>
        </w:rPr>
        <w:t xml:space="preserve">Any tender by a holder, and our subsequent acceptance of that tender, of Original Notes will constitute a binding agreement between that holder and us upon the terms and subject to the conditions of the Exchange Offer described in this prospectus. The participation in the Exchange Offer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Absence of Dissenters’ Rights of Appraisal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Original Notes do not have any dissenters’ rights of appraisal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Procedures for Tendering Original Notes </w:t>
      </w:r>
    </w:p>
    <w:p>
      <w:pPr>
        <w:pStyle w:val="TextBody"/>
        <w:bidi w:val="0"/>
        <w:spacing w:before="120" w:after="0"/>
        <w:jc w:val="left"/>
        <w:rPr>
          <w:rFonts w:ascii="Times New Roman" w:hAnsi="Times New Roman"/>
          <w:sz w:val="20"/>
        </w:rPr>
      </w:pPr>
      <w:r>
        <w:rPr>
          <w:rFonts w:ascii="Times New Roman" w:hAnsi="Times New Roman"/>
          <w:sz w:val="20"/>
        </w:rPr>
        <w:t xml:space="preserve">If you hold Original Notes and wish to have those notes exchanged for Exchange Notes, you must validly tender (or cause the valid tender of) your Original Notes using the procedures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by which you may tender or cause to be tendered Original Notes will depend upon the manner in which you hold the Original Notes,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Original Notes Held with DTC by a DTC Participant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Any DTC participant may tender Original Notes by effecting a book-entry transfer of the Original Notes to be tendered in the Exchange Offer into the account of the Exchange Agent at DTC and electronically transmitting its acceptance of the Exchange Offer through DTC’s ATOP procedures for transfer before the Expiration Date of the Exchange Offer. No letter of transmittal will be used in connection with the Exchange Offer. The valid electronic transmission of acceptance through ATOP shall constitute delivery of Original Notes in connection with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 and that Comcast may enforce the agreement against the participant. DTC participants following this procedure should allow sufficient time for completion of the ATOP procedures prior to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An agent’s message, and any other required documents, must be transmitted to and received by the Exchange Agent prior to the Expiration Date of the Exchange Offer at one of its addresses set forth on the back cover page of this prospectus. Delivery of these documents to Comcast or DTC does not constitute delivery to the Exchange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Original Notes Held Through a Nominee by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Currently, all of the Original Notes are held in book-entry form and can only be tendered by following the procedures described under “—Procedures for Tendering Original Notes—Original Notes Held with DTC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 You should keep in mind that your intermediary may require you to take action with respect to the Exchange Offer a number of days before the Expiration Date in order for such entity to tender Original Notes on your behalf at or prior to the Expiration Date in accordance with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should be aware that their broker, dealer, commercial bank, trust company or other nominee may establish its own earlier deadlines for participation in the Exchange Offer. Accordingly, beneficial owners wishing to participate in the Exchange Offer should contact their broker, dealer, commercial bank, trust company or other nominee as soon as possible in order to determine the times by which such owner must take action in order to participate in the Exchange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Warranties, Acknowledgements and Undertakings </w:t>
      </w:r>
    </w:p>
    <w:p>
      <w:pPr>
        <w:pStyle w:val="TextBody"/>
        <w:bidi w:val="0"/>
        <w:spacing w:before="120" w:after="0"/>
        <w:jc w:val="left"/>
        <w:rPr>
          <w:rFonts w:ascii="Times New Roman" w:hAnsi="Times New Roman"/>
          <w:sz w:val="20"/>
        </w:rPr>
      </w:pPr>
      <w:r>
        <w:rPr>
          <w:rFonts w:ascii="Times New Roman" w:hAnsi="Times New Roman"/>
          <w:sz w:val="20"/>
        </w:rPr>
        <w:t xml:space="preserve">By tendering Original Notes through the submission of an electronic acceptance instruction in accordance with the requirements of ATOP, a tendering holder of Original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acknowledges receipt of this prospectus (as it may be amended or supplemented from time to time), and agrees to all of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tenders of Original Notes pursuant to the Exchange Offer will, upon Comcast’s acceptance for exchange of such tendered Original Notes, constitute a binding agreement between such holder and Comcast upon the terms and subject to the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constitutes and appoints the Exchange Agent the true and lawful agent and attorney-in-fact of the holder with respect to any tendered Original Notes (with full knowledge that the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(b) present such Original Notes for transfer on the books of Comcast and receive all benefits and otherwise exercise all rights of beneficial ownership of such Original Notes, all in accordance with the terms of 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upon request, to execute and deliver any additional documents deemed by Comcast or the Exchange Agent to be necessary or desirable to complete the exchange, assignment and transfer of the Original Notes tendered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for purposes of the Exchange Offer, Comcast shall be deemed to have accepted validly tendered Original Notes when and if Comcast has given oral or written notice thereof to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except as stated in this prospectus in connection with a valid withdrawal, the tender of such holder’s Original Notes is irrevocable.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Comcast has agreed that, subject to the provisions of the Registration Rights Agreement, dated as of October 2, 2025, and the Registration Rights Agreement, dated as of October 9, 2025,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 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each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By tendering Original Notes through the submission of an electronic acceptance instruction in accordance with the requirements of ATOP, a tendering holder of Original Notes also acknowledges that the Exchange Offer is being made by Comcast based upon Comcast’s understanding of an interpretation by the staff of the SEC as set forth in no-action letters issued to third parties, that the Exchange Notes issued in exchange for the Original Notes pursuant to the Exchange Offer may be offered for resale, resold and otherwise transferred by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 (3) 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 in the context of a no-action letter, and there can be no assurance that the staff of the SEC would make a similar determination with respect to the Exchange Offer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 such holder could not rely on the applicable interpretations of the staff of the SEC and must comply with the registration and prospectus delivery requirements of the Securities Act in connection with any secondary resale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reserve the right, as set forth above under the caption “—Conditions to the Exchange Offer,” to terminate the Exchange Offer. By tendering, each holder represents and acknowledges to us,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acquired in connection with the Exchange Offer are being obtained in the ordinary course of business of the person receiving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commencement of the Exchange Offer it had no arrangement with any person to participate in a distribution of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(as defined in Rule 405 under the Securities Act)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broker-dealer, it is not engaged in, and does not intend to engage in, a distribution of the Exchange Notes, and that it will receive Exchange Notes for its own account in exchange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Notes that were acquired by such broker-dealer as a result of market-making activities or other trading activities and that it will be required to acknowledge that it will deliver a prospectus in connection with any resale of such Exchange Notes. See “Plan of Distribution.”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 letter of transmittal will be used in connection with the Exchange Offer. The valid electronic transmission of acceptance through ATOP shall constitute delivery of Original Notes in connection with the Exchange Offer. There are no guaranteed delivery procedures for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Tenders </w:t>
      </w:r>
    </w:p>
    <w:p>
      <w:pPr>
        <w:pStyle w:val="TextBody"/>
        <w:bidi w:val="0"/>
        <w:spacing w:before="120" w:after="0"/>
        <w:jc w:val="left"/>
        <w:rPr>
          <w:rFonts w:ascii="Times New Roman" w:hAnsi="Times New Roman"/>
          <w:sz w:val="20"/>
        </w:rPr>
      </w:pPr>
      <w:r>
        <w:rPr>
          <w:rFonts w:ascii="Times New Roman" w:hAnsi="Times New Roman"/>
          <w:sz w:val="20"/>
        </w:rPr>
        <w:t xml:space="preserve">Tenders of Original Notes in the Exchange Offer may be validly withdrawn at any time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 withdraw its instruction previously transmitted through ATOP by withdrawing its acceptance through ATOP. </w:t>
      </w:r>
    </w:p>
    <w:p>
      <w:pPr>
        <w:pStyle w:val="TextBody"/>
        <w:bidi w:val="0"/>
        <w:spacing w:before="240" w:after="0"/>
        <w:jc w:val="left"/>
        <w:rPr>
          <w:rFonts w:ascii="Times New Roman" w:hAnsi="Times New Roman"/>
          <w:sz w:val="20"/>
        </w:rPr>
      </w:pPr>
      <w:r>
        <w:rPr>
          <w:rFonts w:ascii="Times New Roman" w:hAnsi="Times New Roman"/>
          <w:sz w:val="20"/>
        </w:rPr>
        <w:t xml:space="preserve">Withdrawal of tenders of Original Notes may not be rescinded, and any Original Notes validly withdrawn will thereafter be deemed not to have been validly tendered for purposes of the Exchange Offer. Validly withdrawn Original Notes may, however, be re-tendered by again following one of the procedures described in “—Procedures for Tendering Original Notes” at or prior to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has been appointed as Exchange Agent in connection with the Exchange Offer. Questions and requests for assistance, as well as requests for additional copies of this prospectus, should be directed to the Exchange Agent at its offices at: The Bank of New York Mellon, as Exchange Agent, c/o BNY Mellon, Corporate Trust Operations—Reorganization Unit, 500 Ross Street, Suite 625, Pittsburgh, PA, 15262, Attention: (Raman) Uthandaraman K, Telephone Number: (615) 381-1464 . The Exchange Agent’s e-mail address is </w:t>
      </w:r>
      <w:r>
        <w:rPr>
          <w:rFonts w:ascii="Times New Roman" w:hAnsi="Times New Roman"/>
          <w:i/>
          <w:sz w:val="20"/>
        </w:rPr>
        <w:t>CT_REORG_UNIT_INQUIRIES@bnymellon.com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make any payment to brokers, dealers or others soliciting acceptances of the Exchange Offer. We will pay certain other expenses to be incurred in connection with the Exchange Offer, including the fees and expenses of the Exchange Agent and certain accounting and legal fees.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the tender of Original Notes in the Exchange Offer unless you instruct us to issue Exchange Notes, or request that Original Notes not tendered or accepted in the Exchange Offer be returned, to a person other than the tendering holder. In those cases, you will be responsible for the payment of any applicable transfer taxes.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recorded at the same carrying value as the Original Notes as reflected in our accounting records on the date of the exchange. Accordingly, we will not recognize any gain or loss for accounting purposes upon the completion of the Exchange Offer. Payments made to other third parties will be expensed as incurred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Consequences of Failure to Properly Tender Original Notes in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Issuance of the Exchange Notes in exchange for the Original Notes under the Exchange Offer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 continue to be subject to the existing restrictions upon transfer thereof under the Securities Act, and, upon completion of the Exchange Offer, certain registration rights under each Registration Rights Agreement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Exchange Offer is completed, we generally will not be required to register the remaining Original Notes. Remaining Original Notes will continue to be subject to the following restrictions on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Original Notes may be resold only if registered pursuant to the Securities Act, if any exemption from registration is available, or if neither such registration nor such exemption is required by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Original Notes will bear a legend restricting transfer in the absence of registration or an exemption.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currently anticipate that we will register the remaining Original Notes under the Securities Act. To the extent that Original Notes are tendered and accepted in connection with the Exchange Offer, any trading market for remaining Original Notes could be adversely affected. See “Risk Factors—Risks Relating to Participation in the Exchange Offer—If you fail to exchange your Original Notes, they will continue to be restricted securities and may become less liquid.”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4098_9"/>
      <w:bookmarkEnd w:id="11"/>
      <w:r>
        <w:rPr>
          <w:rFonts w:ascii="Times New Roman" w:hAnsi="Times New Roman"/>
          <w:b/>
          <w:sz w:val="20"/>
        </w:rPr>
        <w:t xml:space="preserve">DESCRIPTION OF THE EXCHANGE NOTES AND THE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among us, the guarantors named therein and The Bank of New York Mellon, as trustee, as supplemented by the first supplemental indenture dated as of November 17, 2015 (the “First Supplemental Indenture”) among us, the guarantors named therein and The Bank of New York Mellon, as trustee, and as further supplemented by the second supplemental indenture dated as of July 29, 2022 (the “Second Supplemental Indenture”) among us, the guarantors named therein and The Bank of New York Mellon, as trustee (as amended and supplemented,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Times New Roman" w:hAnsi="Times New Roman"/>
          <w:i/>
          <w:sz w:val="20"/>
        </w:rPr>
        <w:t>provided</w:t>
      </w:r>
      <w:r>
        <w:rPr>
          <w:rFonts w:ascii="Times New Roman" w:hAnsi="Times New Roman"/>
          <w:sz w:val="20"/>
        </w:rPr>
        <w:t xml:space="preserve"> that if such additional notes are not fungible with the notes offered hereby for U.S. federal income tax purposes, such additional notes will have one or more separate CUSIP numbers. Copies of the indenture and the form of Exchange Notes are available from us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indenture, the Exchange Notes and the guarantees. Because this is a summary, it may not contain all the information that is important to you. For further information, you should read the Exchange Notes and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Basic Terms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debt and will be entitled to the benefits of the guarantees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an aggregate principal amount of Exchange Notes, not to exceed the aggregate principal amount of the Original Notes validly tendered and accepted for exchange in the Exchange Offer,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5.168% Exchange Notes, maturing on January 15, 2037 with interest payable semiannually on each January 15 and July 15, beginning January 15, 2027, to holders of record on the preceding January 1 and July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issuable in fully registered form, in denominations of $2,000 and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Interest for the Exchange Notes will be computed on the basis of a 360-day year consisting of twelve 30-day months. Interest on the Exchange Notes will accrue from the most recent date to which interest on the Original Notes has been paid (July 15, 2026) and will be payable semiannually on the interest payment dates described for each year.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payment and transfer procedures for the Exchange Notes, see “—Book-Entry System” and “—Same Day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October 15, 2036 (three months prior to the maturity date of the Exchange Notes) (the “Par Call Date”), we may redeem the Exchange Notes at our option, in whole or in part, at any time and from time to time at the redemption price (expressed as a percentage of the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for this purpose, that such Exchange Notes mature on the Par Call Date) on a semi-annual basis (assuming a 360-day year consisting of twelve 30-day months) at the Treasury Rate plus 15 basis points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Exchange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On or after the Par Call Date, we may redeem the Exchange Notes, in whole or in part, at any time and from time to time, at a redemption price equal to 100% of the principal amount of the Exchange Notes being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Eastern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11:00 a.m., Eastern time, on the second business day preceding such redemption date of the United States Treasury security maturing on, or with a maturity that is closest to, the relevant Par Call Date, as applicable. If there is no United States Treasury security maturing on the Par Call Date, but there are two or more United States Treasury securities with a maturity date equally distant from the Par Call Date, one with a maturity date preceding such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Eastern time. In determining the Treasury Rate in accordance with the terms of this paragraph, the semi-annual yield to maturity of the United States Treasury security shall be based upon the average of the bid and asked prices (expressed as a percentage of the principal amount) at 11:00 a.m., Eastern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not be responsible for determining or calculating the redemption price or any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Exchange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Exchange Notes for redemption will be made, if such Exchange Notes are in the form of one or more global securities, in accordance with the procedures of The Depository Trust Company (or another depositary) or, if such Exchange Notes are not in the form of one or more global securities, by lot. No Exchange Notes of a principal amount of $2,000 or less will be redeemed in part. If any Exchange Note is to be redeemed in part only, the notice of redemption that relates to such Exchange Note will state the portion of the principal amount of the applicable Exchange Note to be redeemed. A new note in a principal amount equal to the unredeemed portion of the applicable Exchange Notes will be issued in the name of the holder of such Exchange Notes upon surrender for cancellation of such original note. For so long as the Exchange Notes are registered in the name of The Depository Trust Company (or another depositary) or such depositary’s nominee, the redemption of the Exchange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Exchange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Debt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we may issue under the indenture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pPr>
      <w:r>
        <w:rPr/>
        <w:t>“</w:t>
      </w:r>
      <w:r>
        <w:rPr>
          <w:rFonts w:ascii="Times New Roman" w:hAnsi="Times New Roman"/>
          <w:b/>
          <w:sz w:val="20"/>
        </w:rPr>
        <w:t>Aggregate Debt</w:t>
      </w:r>
      <w:r>
        <w:rPr>
          <w:rFonts w:ascii="Times New Roman" w:hAnsi="Times New Roman"/>
          <w:sz w:val="20"/>
        </w:rPr>
        <w:t xml:space="preserve">” means, with respect to an Obligor, the sum of the following as of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Obligor’s Indebtedness incurred after the date of initial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senior debt securities and secured by Liens not permitted by the first sentence under “—Certain Covenants—Limitation on Liens Securing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(b) such Obligor’s Attributable Liens in respect of sale and leaseback transactions entered into after the date of the initial issuance of the senior debt securities pursuant to the second paragraph of “—Certain Covenants— Limitation on Sale and Leaseback Transactions.” </w:t>
      </w:r>
    </w:p>
    <w:p>
      <w:pPr>
        <w:pStyle w:val="TextBody"/>
        <w:bidi w:val="0"/>
        <w:spacing w:before="240" w:after="0"/>
        <w:jc w:val="left"/>
        <w:rPr/>
      </w:pPr>
      <w:r>
        <w:rPr/>
        <w:t>“</w:t>
      </w:r>
      <w:r>
        <w:rPr>
          <w:rFonts w:ascii="Times New Roman" w:hAnsi="Times New Roman"/>
          <w:b/>
          <w:sz w:val="20"/>
        </w:rPr>
        <w:t>Attributable Liens</w:t>
      </w:r>
      <w:r>
        <w:rPr>
          <w:rFonts w:ascii="Times New Roman" w:hAnsi="Times New Roman"/>
          <w:sz w:val="20"/>
        </w:rPr>
        <w:t xml:space="preserve">” means in connection with a sale and leaseback transaction of an Obligor the lesser of: </w:t>
      </w:r>
    </w:p>
    <w:p>
      <w:pPr>
        <w:pStyle w:val="TextBody"/>
        <w:bidi w:val="0"/>
        <w:spacing w:before="120" w:after="0"/>
        <w:jc w:val="left"/>
        <w:rPr>
          <w:rFonts w:ascii="Times New Roman" w:hAnsi="Times New Roman"/>
          <w:sz w:val="20"/>
        </w:rPr>
      </w:pPr>
      <w:r>
        <w:rPr>
          <w:rFonts w:ascii="Times New Roman" w:hAnsi="Times New Roman"/>
          <w:sz w:val="20"/>
        </w:rPr>
        <w:t xml:space="preserve">(a) the fair market value of the assets subject to such transaction (as determined in good faith by our board of directors (in our case) or the equivalent governing body of any guarantor); and </w:t>
      </w:r>
    </w:p>
    <w:p>
      <w:pPr>
        <w:pStyle w:val="TextBody"/>
        <w:bidi w:val="0"/>
        <w:spacing w:before="240" w:after="0"/>
        <w:jc w:val="left"/>
        <w:rPr>
          <w:rFonts w:ascii="Times New Roman" w:hAnsi="Times New Roman"/>
          <w:sz w:val="20"/>
        </w:rPr>
      </w:pPr>
      <w:r>
        <w:rPr>
          <w:rFonts w:ascii="Times New Roman" w:hAnsi="Times New Roman"/>
          <w:sz w:val="20"/>
        </w:rPr>
        <w:t xml:space="preserve">(b) 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 </w:t>
      </w:r>
    </w:p>
    <w:p>
      <w:pPr>
        <w:pStyle w:val="TextBody"/>
        <w:bidi w:val="0"/>
        <w:spacing w:before="240" w:after="0"/>
        <w:jc w:val="left"/>
        <w:rPr/>
      </w:pPr>
      <w:r>
        <w:rPr/>
        <w:t>“</w:t>
      </w:r>
      <w:r>
        <w:rPr>
          <w:rFonts w:ascii="Times New Roman" w:hAnsi="Times New Roman"/>
          <w:b/>
          <w:sz w:val="20"/>
        </w:rPr>
        <w:t>Capital Lease</w:t>
      </w:r>
      <w:r>
        <w:rPr>
          <w:rFonts w:ascii="Times New Roman" w:hAnsi="Times New Roman"/>
          <w:sz w:val="20"/>
        </w:rPr>
        <w:t xml:space="preserv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 </w:t>
      </w:r>
    </w:p>
    <w:p>
      <w:pPr>
        <w:pStyle w:val="TextBody"/>
        <w:bidi w:val="0"/>
        <w:spacing w:before="240" w:after="0"/>
        <w:jc w:val="left"/>
        <w:rPr/>
      </w:pPr>
      <w:r>
        <w:rPr/>
        <w:t>“</w:t>
      </w:r>
      <w:r>
        <w:rPr>
          <w:rFonts w:ascii="Times New Roman" w:hAnsi="Times New Roman"/>
          <w:b/>
          <w:sz w:val="20"/>
        </w:rPr>
        <w:t>Consolidated Net Worth</w:t>
      </w:r>
      <w:r>
        <w:rPr>
          <w:rFonts w:ascii="Times New Roman" w:hAnsi="Times New Roman"/>
          <w:sz w:val="20"/>
        </w:rPr>
        <w:t xml:space="preserve">” of any Person means, as of any date of determination, stockholders’ equity or members’ capital of such Person as reflected on the most recent consolidated balance sheet of such Person and prepared in accordance with GAAP.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 </w:t>
      </w:r>
    </w:p>
    <w:p>
      <w:pPr>
        <w:pStyle w:val="TextBody"/>
        <w:bidi w:val="0"/>
        <w:spacing w:before="240" w:after="0"/>
        <w:jc w:val="left"/>
        <w:rPr/>
      </w:pPr>
      <w:r>
        <w:rPr/>
        <w:t>“</w:t>
      </w:r>
      <w:r>
        <w:rPr>
          <w:rFonts w:ascii="Times New Roman" w:hAnsi="Times New Roman"/>
          <w:b/>
          <w:sz w:val="20"/>
        </w:rPr>
        <w:t>Governmental Obligations</w:t>
      </w:r>
      <w:r>
        <w:rPr>
          <w:rFonts w:ascii="Times New Roman" w:hAnsi="Times New Roman"/>
          <w:sz w:val="20"/>
        </w:rPr>
        <w:t xml:space="preserve">”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Lien</w:t>
      </w:r>
      <w:r>
        <w:rPr>
          <w:rFonts w:ascii="Times New Roman" w:hAnsi="Times New Roman"/>
          <w:sz w:val="20"/>
        </w:rPr>
        <w:t xml:space="preserve">” means any lien, security interest, charge or encumbrance of any kind (including any conditional sale or other title retention agreement, any lease in the nature thereof, and any agreement to give any security interest). </w:t>
      </w:r>
    </w:p>
    <w:p>
      <w:pPr>
        <w:pStyle w:val="TextBody"/>
        <w:bidi w:val="0"/>
        <w:spacing w:before="240" w:after="0"/>
        <w:jc w:val="left"/>
        <w:rPr/>
      </w:pPr>
      <w:r>
        <w:rPr/>
        <w:t>“</w:t>
      </w:r>
      <w:r>
        <w:rPr>
          <w:rFonts w:ascii="Times New Roman" w:hAnsi="Times New Roman"/>
          <w:b/>
          <w:sz w:val="20"/>
        </w:rPr>
        <w:t>Obligor</w:t>
      </w:r>
      <w:r>
        <w:rPr>
          <w:rFonts w:ascii="Times New Roman" w:hAnsi="Times New Roman"/>
          <w:sz w:val="20"/>
        </w:rPr>
        <w:t xml:space="preserve">” means us and the guarantors.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with respect to an Obligor: </w:t>
      </w:r>
    </w:p>
    <w:p>
      <w:pPr>
        <w:pStyle w:val="TextBody"/>
        <w:bidi w:val="0"/>
        <w:spacing w:before="120" w:after="0"/>
        <w:jc w:val="left"/>
        <w:rPr>
          <w:rFonts w:ascii="Times New Roman" w:hAnsi="Times New Roman"/>
          <w:sz w:val="20"/>
        </w:rPr>
      </w:pPr>
      <w:r>
        <w:rPr>
          <w:rFonts w:ascii="Times New Roman" w:hAnsi="Times New Roman"/>
          <w:sz w:val="20"/>
        </w:rPr>
        <w:t xml:space="preserve">(a) 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(c)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(d) Liens for taxes not yet due or that are being contested in good faith by appropriate proceedings, provided that adequate reserves with respect thereto are maintained on such Obligor’s books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(e) Liens securing reimbursement obligations with respect to letters of credit that encumber documents and other Property relating to such letters of credit and the products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(f) 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 </w:t>
      </w:r>
    </w:p>
    <w:p>
      <w:pPr>
        <w:pStyle w:val="TextBody"/>
        <w:bidi w:val="0"/>
        <w:spacing w:before="240" w:after="0"/>
        <w:jc w:val="left"/>
        <w:rPr>
          <w:rFonts w:ascii="Times New Roman" w:hAnsi="Times New Roman"/>
          <w:sz w:val="20"/>
        </w:rPr>
      </w:pPr>
      <w:r>
        <w:rPr>
          <w:rFonts w:ascii="Times New Roman" w:hAnsi="Times New Roman"/>
          <w:sz w:val="20"/>
        </w:rPr>
        <w:t xml:space="preserve">(g) Liens in favor of us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(h)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(i)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pledges or deposits to secure obligations under workers’ compensation laws or similar legislation, including Liens of judgments thereunder which are not currently dischargeable; </w:t>
      </w:r>
    </w:p>
    <w:p>
      <w:pPr>
        <w:pStyle w:val="TextBody"/>
        <w:bidi w:val="0"/>
        <w:spacing w:before="240" w:after="0"/>
        <w:jc w:val="left"/>
        <w:rPr>
          <w:rFonts w:ascii="Times New Roman" w:hAnsi="Times New Roman"/>
          <w:sz w:val="20"/>
        </w:rPr>
      </w:pPr>
      <w:r>
        <w:rPr>
          <w:rFonts w:ascii="Times New Roman" w:hAnsi="Times New Roman"/>
          <w:sz w:val="20"/>
        </w:rPr>
        <w:t xml:space="preserve">(k) 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Liens consisting of deposits of Property to secure such Obligor’s statutory obligations in the ordinary course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(m) Liens consisting of deposits of Property to secure (or in lieu of) surety, appeal or customs bonds in proceedings to which such Obligor is a party in the ordinary course of its business, but not in excess of $25,000,000; </w:t>
      </w:r>
    </w:p>
    <w:p>
      <w:pPr>
        <w:pStyle w:val="TextBody"/>
        <w:bidi w:val="0"/>
        <w:spacing w:before="240" w:after="0"/>
        <w:jc w:val="left"/>
        <w:rPr>
          <w:rFonts w:ascii="Times New Roman" w:hAnsi="Times New Roman"/>
          <w:sz w:val="20"/>
        </w:rPr>
      </w:pPr>
      <w:r>
        <w:rPr>
          <w:rFonts w:ascii="Times New Roman" w:hAnsi="Times New Roman"/>
          <w:sz w:val="20"/>
        </w:rPr>
        <w:t xml:space="preserve">(n) Liens on “margin stock” (as defined in Regulation U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(o) Liens permitted under sale and leaseback transactions, and any renewals or extensions thereof, so long as the Indebtedness secured thereby does not exceed $300,000,000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(p) Liens arising in connection with asset securitization transactions, so long as the aggregate outstanding principal amount of the obligations of all Obligors secured thereby does not exceed $300,000,000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(q) 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 </w:t>
      </w:r>
    </w:p>
    <w:p>
      <w:pPr>
        <w:pStyle w:val="TextBody"/>
        <w:bidi w:val="0"/>
        <w:spacing w:before="240" w:after="0"/>
        <w:jc w:val="left"/>
        <w:rPr>
          <w:rFonts w:ascii="Times New Roman" w:hAnsi="Times New Roman"/>
          <w:sz w:val="20"/>
        </w:rPr>
      </w:pPr>
      <w:r>
        <w:rPr>
          <w:rFonts w:ascii="Times New Roman" w:hAnsi="Times New Roman"/>
          <w:sz w:val="20"/>
        </w:rPr>
        <w:t xml:space="preserve">(r) 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(s) Take-or-pay obligations arising in the ordinary course of business.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limited liability company, partnership, joint venture, association, joint stock company, trust, unincorporated organization, or any other entity, including any government or any agency or political subdivision thereof.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with respect to any Person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on Liens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the date of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after the date of initial issuance of the senior debt securities of such series, created in favor of the registered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such Obligor of any Property by one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will expressly assume all of our obligations under the senior debt securities and the indenture and will execute a supplemental indenture, in a form satisfactory to the trustee, which will be delivered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or series of transactions on a pro forma basis, no default has occurred and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third bullet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the guarantors and the trustee may amend or modify the indenture or the senior debt securities of any series issued under the indenture without notice to or the consent of any holder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ambiguities, omissions, defects or inconsistencies in the indenture in a manner that does not adversely affect the interests of the holders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add guarantors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our successor, if any, to our or their obligations to holders of any outstanding senior debt securities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Exchange Notes and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senior debt securities of such series or alter or waive the redemption provisions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of the senior debt securities of such series to receive payment of principal or interest on the senior debt securities of such series on and after the due dates for such principal or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senior debt securities of such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senior debt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will constitute an event of default in the indenture with respect to the senior debt securities of any series issued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interest on the senior debt securities of such series when it becomes due and the default continues for a period of 30 days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principal on the senior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administration or similar proceedings with respect to us or any Obligor have occurred;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shall not be (or shall be claimed by the relevant guarantor not to be) in full force and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furnish to the trustee an annual statement as to compliance with all conditions and covenants under the indenture within 120 days of the end of each fiscal year.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and the obligations of the guarantors under the indenture with respect to the senior debt securities of any series and the guarantees of such series of senior debt securities,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that have been authenticated and delivered have been canceled or delivered to the trustee for cancellation; 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with respect to the senior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senior debt securities of such series to receive principal or interest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provisions relating to the resignation and removal of the trustee and the appointment of a successor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senior debt securities and guarantees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(measured with respect to the scheduled payments of principal and interest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cash and U.S. Government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senior debt securities of such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with respect to the legal defeasance or covenant defeasance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Incorporators, Stockholders, Officers, Directors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indenture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including any guarantee, and the Exchange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certain purchasers of securities take physical delivery of such securities in definitive form. Such limits and laws may impair the ability to transfer or pledge beneficial interests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premium, if any, and interest on the Exchange Notes represented by the Global Notes registered in the name of and held by DTC or its nominee to DTC or its nominee, as the case may be, as the registered owner and holder of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Exchange Notes represented by the Global Notes are exchangeable for certificated Exchange Notes in definitive form of like tenor in denominations of $2,000 principal amount and multiples of $1,000 in excess thereof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provides notification that it is unwilling or unable to continue as depositary for the Global Notes or DTC ceases to be a clearing agency registered under the Exchange Act and, in either case, a successor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discretion at any time determine not to have all the Exchange Notes represented by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entitling the holders of the applicable Exchange Notes to accelerate the maturity thereof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Exchange Note that is exchangeable as above is for certificated Exchange Notes issuable in authorized denominations and registered in such names as DTC shall direct. Subject to the foregoing, a Global Note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exchangeable, except for a Global Note of the same aggregate denomination to be registered in the name of DTC (or its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Same-Day Payment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 xml:space="preserve">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4098_10"/>
      <w:bookmarkEnd w:id="12"/>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Original Notes for Exchange Notes in the Exchange Offer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 and the Exchange Note will have the same adjusted issue price as the adjusted issue price of the Original Note immediately before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44098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participate in the Exchange Offer, you must represent, among other things, that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a broker-dealer tendering Original Notes that you acquired directly from us for your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an “affiliate” as defined under Rule 405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fail to satisfy any of these conditions, you cannot rely on the position of the SEC set forth in the no-action letters referred to above under “Summary—The Exchange Offer—Resale of Exchange Notes” and you must comply with the registration and prospectus delivery requirements of the Securities Act in connection with a resale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will be deemed to acknowledge that it will deliver a prospectus in connection with any resale of such Exchange Notes. This prospectus, as it may be amended or supplemented from time to time, may be used by a broker- 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 </w:t>
      </w:r>
    </w:p>
    <w:p>
      <w:pPr>
        <w:pStyle w:val="TextBody"/>
        <w:bidi w:val="0"/>
        <w:spacing w:before="240" w:after="0"/>
        <w:jc w:val="left"/>
        <w:rPr>
          <w:rFonts w:ascii="Times New Roman" w:hAnsi="Times New Roman"/>
          <w:sz w:val="20"/>
        </w:rPr>
      </w:pPr>
      <w:r>
        <w:rPr>
          <w:rFonts w:ascii="Times New Roman" w:hAnsi="Times New Roman"/>
          <w:sz w:val="20"/>
        </w:rPr>
        <w:t xml:space="preserve">Comcast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For a period of 90 days after the Expiration Date, Comcast will promptly send additional copies of this prospectus and any amendment or supplement to this prospectus to any broker-dealer that requests such documents. We have agreed to pay all expenses incident to the Exchange Offer other than commissions or concessions of any brokers or dealers, and will indemnify the holders of the Exchange Notes (including any broker-dealers)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4098_12"/>
      <w:bookmarkEnd w:id="14"/>
      <w:r>
        <w:rPr>
          <w:rFonts w:ascii="Times New Roman" w:hAnsi="Times New Roman"/>
          <w:b/>
          <w:sz w:val="20"/>
        </w:rPr>
        <w:t xml:space="preserve">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Exchange Agent reasonable and customary fees for its services and will reimburse it for its reasonable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Bank of New York Mellon is: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Exchange Agent </w:t>
      </w:r>
    </w:p>
    <w:p>
      <w:pPr>
        <w:pStyle w:val="TextBody"/>
        <w:bidi w:val="0"/>
        <w:spacing w:before="0" w:after="0"/>
        <w:jc w:val="left"/>
        <w:rPr>
          <w:rFonts w:ascii="Times New Roman" w:hAnsi="Times New Roman"/>
          <w:sz w:val="20"/>
        </w:rPr>
      </w:pPr>
      <w:r>
        <w:rPr>
          <w:rFonts w:ascii="Times New Roman" w:hAnsi="Times New Roman"/>
          <w:sz w:val="20"/>
        </w:rPr>
        <w:t xml:space="preserve">Corporate Trust Operations—Reorganization Unit </w:t>
      </w:r>
    </w:p>
    <w:p>
      <w:pPr>
        <w:pStyle w:val="TextBody"/>
        <w:bidi w:val="0"/>
        <w:spacing w:before="0" w:after="0"/>
        <w:jc w:val="left"/>
        <w:rPr>
          <w:rFonts w:ascii="Times New Roman" w:hAnsi="Times New Roman"/>
          <w:sz w:val="20"/>
        </w:rPr>
      </w:pPr>
      <w:r>
        <w:rPr>
          <w:rFonts w:ascii="Times New Roman" w:hAnsi="Times New Roman"/>
          <w:sz w:val="20"/>
        </w:rPr>
        <w:t xml:space="preserve">500 Ross Street, Suite 625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15262 </w:t>
      </w:r>
    </w:p>
    <w:p>
      <w:pPr>
        <w:pStyle w:val="TextBody"/>
        <w:bidi w:val="0"/>
        <w:spacing w:before="0" w:after="0"/>
        <w:jc w:val="left"/>
        <w:rPr>
          <w:rFonts w:ascii="Times New Roman" w:hAnsi="Times New Roman"/>
          <w:sz w:val="20"/>
        </w:rPr>
      </w:pPr>
      <w:r>
        <w:rPr>
          <w:rFonts w:ascii="Times New Roman" w:hAnsi="Times New Roman"/>
          <w:sz w:val="20"/>
        </w:rPr>
        <w:t xml:space="preserve">Attention: (Raman) Uthandaraman K </w:t>
      </w:r>
    </w:p>
    <w:p>
      <w:pPr>
        <w:pStyle w:val="TextBody"/>
        <w:bidi w:val="0"/>
        <w:spacing w:before="0" w:after="0"/>
        <w:jc w:val="left"/>
        <w:rPr>
          <w:rFonts w:ascii="Times New Roman" w:hAnsi="Times New Roman"/>
          <w:sz w:val="20"/>
        </w:rPr>
      </w:pPr>
      <w:r>
        <w:rPr>
          <w:rFonts w:ascii="Times New Roman" w:hAnsi="Times New Roman"/>
          <w:sz w:val="20"/>
        </w:rPr>
        <w:t xml:space="preserve">Telephone: (615) 381-1464 </w:t>
      </w:r>
    </w:p>
    <w:p>
      <w:pPr>
        <w:pStyle w:val="TextBody"/>
        <w:bidi w:val="0"/>
        <w:spacing w:before="0" w:after="0"/>
        <w:jc w:val="left"/>
        <w:rPr>
          <w:rFonts w:ascii="Times New Roman" w:hAnsi="Times New Roman"/>
          <w:sz w:val="20"/>
        </w:rPr>
      </w:pPr>
      <w:r>
        <w:rPr>
          <w:rFonts w:ascii="Times New Roman" w:hAnsi="Times New Roman"/>
          <w:sz w:val="20"/>
        </w:rPr>
        <w:t xml:space="preserve">E-mail: CT_REORG_UNIT_INQUIRIES@bnymellon.com </w:t>
      </w:r>
    </w:p>
    <w:p>
      <w:pPr>
        <w:pStyle w:val="TextBody"/>
        <w:bidi w:val="0"/>
        <w:spacing w:before="240" w:after="0"/>
        <w:jc w:val="left"/>
        <w:rPr>
          <w:rFonts w:ascii="Times New Roman" w:hAnsi="Times New Roman"/>
          <w:sz w:val="20"/>
        </w:rPr>
      </w:pPr>
      <w:r>
        <w:rPr>
          <w:rFonts w:ascii="Times New Roman" w:hAnsi="Times New Roman"/>
          <w:sz w:val="20"/>
        </w:rPr>
        <w:t xml:space="preserve">Questions and requests for assistance related to the Exchange Offer or for additional copies of this prospectus may be directed to the Exchange Agent at the telephone number and address listed above. </w:t>
      </w:r>
    </w:p>
    <w:p>
      <w:pPr>
        <w:pStyle w:val="TextBody"/>
        <w:bidi w:val="0"/>
        <w:spacing w:before="240" w:after="0"/>
        <w:jc w:val="left"/>
        <w:rPr>
          <w:rFonts w:ascii="Times New Roman" w:hAnsi="Times New Roman"/>
          <w:b/>
          <w:sz w:val="20"/>
        </w:rPr>
      </w:pPr>
      <w:r>
        <w:rPr>
          <w:rFonts w:ascii="Times New Roman" w:hAnsi="Times New Roman"/>
          <w:b/>
          <w:sz w:val="20"/>
        </w:rPr>
        <w:t xml:space="preserve">TRANSMISSION OF INSTRUCTIONS TO AN ADDRESS OR FACSIMILE NUMBER OTHER THAN THAT OF THE EXCHANGE AGENT AS SET FORTH ON THE BACK COVER OF THIS PROSPECTUS DOES NOT CONSTITUTE VALID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44098_13"/>
      <w:bookmarkEnd w:id="15"/>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44098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2025 and 2024, and for each of the three years in the period ended December 31, 2025, incorporated by reference in this Prospectus,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6790" cy="896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256790" cy="896620"/>
                    </a:xfrm>
                    <a:prstGeom prst="rect">
                      <a:avLst/>
                    </a:prstGeom>
                  </pic:spPr>
                </pic:pic>
              </a:graphicData>
            </a:graphic>
          </wp:inline>
        </w:drawing>
      </w:r>
      <w:r>
        <w:rPr/>
        <w:t xml:space="preserve"> </w:t>
      </w:r>
    </w:p>
    <w:p>
      <w:pPr>
        <w:pStyle w:val="TextBody"/>
        <w:bidi w:val="0"/>
        <w:spacing w:before="960" w:after="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960" w:after="0"/>
        <w:jc w:val="center"/>
        <w:rPr>
          <w:rFonts w:ascii="Times New Roman" w:hAnsi="Times New Roman"/>
          <w:b/>
          <w:i/>
          <w:sz w:val="20"/>
        </w:rPr>
      </w:pPr>
      <w:r>
        <w:rPr>
          <w:rFonts w:ascii="Times New Roman" w:hAnsi="Times New Roman"/>
          <w:b/>
          <w:i/>
          <w:sz w:val="20"/>
        </w:rPr>
        <w:t xml:space="preserve">The Exchange Agent for the Exchange Offer is: </w:t>
      </w:r>
    </w:p>
    <w:p>
      <w:pPr>
        <w:pStyle w:val="TextBody"/>
        <w:bidi w:val="0"/>
        <w:spacing w:before="120" w:after="0"/>
        <w:jc w:val="center"/>
        <w:rPr>
          <w:rFonts w:ascii="Times New Roman" w:hAnsi="Times New Roman"/>
          <w:b/>
          <w:sz w:val="36"/>
        </w:rPr>
      </w:pPr>
      <w:r>
        <w:rPr>
          <w:rFonts w:ascii="Times New Roman" w:hAnsi="Times New Roman"/>
          <w:b/>
          <w:sz w:val="36"/>
        </w:rPr>
        <w:t xml:space="preserve">The Bank of New York Mellon </w:t>
      </w:r>
    </w:p>
    <w:p>
      <w:pPr>
        <w:pStyle w:val="TextBody"/>
        <w:bidi w:val="0"/>
        <w:spacing w:before="360" w:after="0"/>
        <w:jc w:val="center"/>
        <w:rPr>
          <w:rFonts w:ascii="Times New Roman" w:hAnsi="Times New Roman"/>
          <w:i/>
          <w:sz w:val="24"/>
        </w:rPr>
      </w:pPr>
      <w:r>
        <w:rPr>
          <w:rFonts w:ascii="Times New Roman" w:hAnsi="Times New Roman"/>
          <w:i/>
          <w:sz w:val="24"/>
        </w:rPr>
        <w:t xml:space="preserve">By Mail or Hand: </w:t>
      </w:r>
    </w:p>
    <w:p>
      <w:pPr>
        <w:pStyle w:val="TextBody"/>
        <w:bidi w:val="0"/>
        <w:spacing w:before="40" w:after="0"/>
        <w:jc w:val="center"/>
        <w:rPr>
          <w:rFonts w:ascii="Times New Roman" w:hAnsi="Times New Roman"/>
          <w:sz w:val="20"/>
        </w:rPr>
      </w:pPr>
      <w:r>
        <w:rPr>
          <w:rFonts w:ascii="Times New Roman" w:hAnsi="Times New Roman"/>
          <w:sz w:val="20"/>
        </w:rPr>
        <w:t xml:space="preserve">c/o BNY Mellon </w:t>
      </w:r>
    </w:p>
    <w:p>
      <w:pPr>
        <w:pStyle w:val="TextBody"/>
        <w:bidi w:val="0"/>
        <w:spacing w:before="200" w:after="0"/>
        <w:jc w:val="center"/>
        <w:rPr>
          <w:rFonts w:ascii="Times New Roman" w:hAnsi="Times New Roman"/>
          <w:sz w:val="20"/>
        </w:rPr>
      </w:pPr>
      <w:r>
        <w:rPr>
          <w:rFonts w:ascii="Times New Roman" w:hAnsi="Times New Roman"/>
          <w:sz w:val="20"/>
        </w:rPr>
        <w:t xml:space="preserve">Corporate Trust Operations—Reorganization Unit </w:t>
      </w:r>
    </w:p>
    <w:p>
      <w:pPr>
        <w:pStyle w:val="TextBody"/>
        <w:bidi w:val="0"/>
        <w:spacing w:before="0" w:after="0"/>
        <w:jc w:val="center"/>
        <w:rPr>
          <w:rFonts w:ascii="Times New Roman" w:hAnsi="Times New Roman"/>
          <w:sz w:val="20"/>
        </w:rPr>
      </w:pPr>
      <w:r>
        <w:rPr>
          <w:rFonts w:ascii="Times New Roman" w:hAnsi="Times New Roman"/>
          <w:sz w:val="20"/>
        </w:rPr>
        <w:t xml:space="preserve">500 Ross Street, Suite 625 </w:t>
      </w:r>
    </w:p>
    <w:p>
      <w:pPr>
        <w:pStyle w:val="TextBody"/>
        <w:bidi w:val="0"/>
        <w:spacing w:before="0" w:after="0"/>
        <w:jc w:val="center"/>
        <w:rPr>
          <w:rFonts w:ascii="Times New Roman" w:hAnsi="Times New Roman"/>
          <w:sz w:val="20"/>
        </w:rPr>
      </w:pPr>
      <w:r>
        <w:rPr>
          <w:rFonts w:ascii="Times New Roman" w:hAnsi="Times New Roman"/>
          <w:sz w:val="20"/>
        </w:rPr>
        <w:t xml:space="preserve">Pittsburgh, PA 15262 </w:t>
      </w:r>
    </w:p>
    <w:p>
      <w:pPr>
        <w:pStyle w:val="TextBody"/>
        <w:bidi w:val="0"/>
        <w:spacing w:before="0" w:after="0"/>
        <w:jc w:val="center"/>
        <w:rPr>
          <w:rFonts w:ascii="Times New Roman" w:hAnsi="Times New Roman"/>
          <w:sz w:val="20"/>
        </w:rPr>
      </w:pPr>
      <w:r>
        <w:rPr>
          <w:rFonts w:ascii="Times New Roman" w:hAnsi="Times New Roman"/>
          <w:sz w:val="20"/>
        </w:rPr>
        <w:t xml:space="preserve">Attention: (Raman) Uthandaraman K </w:t>
      </w:r>
    </w:p>
    <w:p>
      <w:pPr>
        <w:pStyle w:val="TextBody"/>
        <w:bidi w:val="0"/>
        <w:spacing w:before="0" w:after="0"/>
        <w:jc w:val="center"/>
        <w:rPr>
          <w:rFonts w:ascii="Times New Roman" w:hAnsi="Times New Roman"/>
          <w:sz w:val="20"/>
        </w:rPr>
      </w:pPr>
      <w:r>
        <w:rPr>
          <w:rFonts w:ascii="Times New Roman" w:hAnsi="Times New Roman"/>
          <w:sz w:val="20"/>
        </w:rPr>
        <w:t xml:space="preserve">Telephone: (615) 381-1464 </w:t>
      </w:r>
    </w:p>
    <w:p>
      <w:pPr>
        <w:pStyle w:val="TextBody"/>
        <w:bidi w:val="0"/>
        <w:spacing w:before="0" w:after="0"/>
        <w:jc w:val="center"/>
        <w:rPr>
          <w:rFonts w:ascii="Times New Roman" w:hAnsi="Times New Roman"/>
          <w:sz w:val="20"/>
        </w:rPr>
      </w:pPr>
      <w:r>
        <w:rPr>
          <w:rFonts w:ascii="Times New Roman" w:hAnsi="Times New Roman"/>
          <w:sz w:val="20"/>
        </w:rPr>
        <w:t xml:space="preserve">E-mail: CT_REORG_UNIT_INQUIRIES@bnymellon.com </w:t>
      </w:r>
    </w:p>
    <w:p>
      <w:pPr>
        <w:pStyle w:val="TextBody"/>
        <w:bidi w:val="0"/>
        <w:spacing w:before="320" w:after="0"/>
        <w:jc w:val="left"/>
        <w:rPr>
          <w:rFonts w:ascii="Times New Roman" w:hAnsi="Times New Roman"/>
          <w:sz w:val="20"/>
        </w:rPr>
      </w:pPr>
      <w:r>
        <w:rPr>
          <w:rFonts w:ascii="Times New Roman" w:hAnsi="Times New Roman"/>
          <w:sz w:val="20"/>
        </w:rPr>
        <w:t xml:space="preserve">Requests for additional copies of this prospectus may be directed to the Exchange Agent at the address or telephone number set forth above. Beneficial owners may also contact their custodian for assistance concerning 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Until    , 2026, all dealers that effect transactions in the Exchange Notes, whether or not participating in the Exchange Offer, may be required to deliver a prospectus. This is in addition to the dealers’ obligation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left"/>
        <w:rPr>
          <w:rFonts w:ascii="Times New Roman" w:hAnsi="Times New Roman"/>
          <w:sz w:val="20"/>
        </w:rPr>
      </w:pPr>
      <w:r>
        <w:rPr>
          <w:rFonts w:ascii="Times New Roman" w:hAnsi="Times New Roman"/>
          <w:sz w:val="20"/>
        </w:rPr>
        <w:t xml:space="preserve">Indemnification under Pennsylvania Law and Comcast’s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Sections 1741 through 1750 of Subchapter D, Chapter 17, of the Pennsylvania Business Corporation Law of 1988, as amended (“PBCL”), contain provisions for mandatory and discretionary indemnification of a corporation’s directors, officers and other personnel,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1743 of the PBCL, indemnification is mandatory to the extent that the officer or director has been successful on the merits or otherwise in defense of any action or proceeding referred to in Section 1741 or 1742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 </w:t>
      </w:r>
    </w:p>
    <w:p>
      <w:pPr>
        <w:pStyle w:val="TextBody"/>
        <w:bidi w:val="0"/>
        <w:spacing w:before="240" w:after="0"/>
        <w:jc w:val="left"/>
        <w:rPr>
          <w:rFonts w:ascii="Times New Roman" w:hAnsi="Times New Roman"/>
          <w:sz w:val="20"/>
        </w:rPr>
      </w:pPr>
      <w:r>
        <w:rPr>
          <w:rFonts w:ascii="Times New Roman" w:hAnsi="Times New Roman"/>
          <w:sz w:val="20"/>
        </w:rPr>
        <w:t xml:space="preserve">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 dealing, willful misconduct or recklessness. Article Twelfth of the Registrant’s charter extends such protection to any person who is or was an officer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statements are subject to the detailed provisions of the PBCL and to the applicable provisions of the Registrant’s charter, by-laws and indemnification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Comcast Cable Communications, LLC </w:t>
      </w:r>
    </w:p>
    <w:p>
      <w:pPr>
        <w:pStyle w:val="TextBody"/>
        <w:bidi w:val="0"/>
        <w:spacing w:before="120" w:after="0"/>
        <w:jc w:val="left"/>
        <w:rPr>
          <w:rFonts w:ascii="Times New Roman" w:hAnsi="Times New Roman"/>
          <w:sz w:val="20"/>
        </w:rPr>
      </w:pPr>
      <w:r>
        <w:rPr>
          <w:rFonts w:ascii="Times New Roman" w:hAnsi="Times New Roman"/>
          <w:sz w:val="20"/>
        </w:rPr>
        <w:t xml:space="preserve">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 </w:t>
      </w:r>
    </w:p>
    <w:p>
      <w:pPr>
        <w:pStyle w:val="TextBody"/>
        <w:bidi w:val="0"/>
        <w:spacing w:before="240" w:after="0"/>
        <w:jc w:val="left"/>
        <w:rPr>
          <w:rFonts w:ascii="Times New Roman" w:hAnsi="Times New Roman"/>
          <w:sz w:val="20"/>
        </w:rPr>
      </w:pPr>
      <w:r>
        <w:rPr>
          <w:rFonts w:ascii="Times New Roman" w:hAnsi="Times New Roman"/>
          <w:sz w:val="20"/>
        </w:rPr>
        <w:t xml:space="preserve">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NBCUniversal Media, LLC </w:t>
      </w:r>
    </w:p>
    <w:p>
      <w:pPr>
        <w:pStyle w:val="TextBody"/>
        <w:bidi w:val="0"/>
        <w:spacing w:before="120" w:after="0"/>
        <w:jc w:val="left"/>
        <w:rPr>
          <w:rFonts w:ascii="Times New Roman" w:hAnsi="Times New Roman"/>
          <w:sz w:val="20"/>
        </w:rPr>
      </w:pPr>
      <w:r>
        <w:rPr>
          <w:rFonts w:ascii="Times New Roman" w:hAnsi="Times New Roman"/>
          <w:sz w:val="20"/>
        </w:rPr>
        <w:t xml:space="preserve">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 </w:t>
      </w:r>
    </w:p>
    <w:p>
      <w:pPr>
        <w:pStyle w:val="TextBody"/>
        <w:bidi w:val="0"/>
        <w:spacing w:before="240" w:after="0"/>
        <w:jc w:val="left"/>
        <w:rPr>
          <w:rFonts w:ascii="Times New Roman" w:hAnsi="Times New Roman"/>
          <w:sz w:val="20"/>
        </w:rPr>
      </w:pPr>
      <w:r>
        <w:rPr>
          <w:rFonts w:ascii="Times New Roman" w:hAnsi="Times New Roman"/>
          <w:sz w:val="20"/>
        </w:rPr>
        <w:t xml:space="preserve">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21. Exhibits and Financial Statement Schedule </w:t>
      </w:r>
    </w:p>
    <w:p>
      <w:pPr>
        <w:pStyle w:val="TextBody"/>
        <w:bidi w:val="0"/>
        <w:spacing w:before="120" w:after="0"/>
        <w:jc w:val="left"/>
        <w:rPr>
          <w:rFonts w:ascii="Times New Roman" w:hAnsi="Times New Roman"/>
          <w:sz w:val="20"/>
        </w:rPr>
      </w:pPr>
      <w:r>
        <w:rPr>
          <w:rFonts w:ascii="Times New Roman" w:hAnsi="Times New Roman"/>
          <w:sz w:val="20"/>
        </w:rPr>
        <w:t xml:space="preserve">(a) The following exhibits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1"/>
        <w:gridCol w:w="678"/>
        <w:gridCol w:w="8676"/>
      </w:tblGrid>
      <w:tr>
        <w:trPr/>
        <w:tc>
          <w:tcPr>
            <w:tcW w:w="851"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8676"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78" w:type="dxa"/>
            <w:tcBorders/>
            <w:vAlign w:val="bottom"/>
          </w:tcPr>
          <w:p>
            <w:pPr>
              <w:pStyle w:val="TableContents"/>
              <w:bidi w:val="0"/>
              <w:spacing w:before="0" w:after="283"/>
              <w:jc w:val="left"/>
              <w:rPr/>
            </w:pPr>
            <w:r>
              <w:rPr/>
              <w:t>  </w:t>
            </w:r>
          </w:p>
        </w:tc>
        <w:tc>
          <w:tcPr>
            <w:tcW w:w="86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Document</w:t>
            </w:r>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4.1</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16">
              <w:r>
                <w:rPr>
                  <w:rStyle w:val="InternetLink"/>
                </w:rPr>
                <w:t xml:space="preserve">Senior Indenture dated as of September  18, 2013 among the Company, the guarantors party thereto and The Bank of New York Mellon, as Trustee (incorporated by reference to Comcast’s Registration Statement on Form S-3, as amended, filed on September 18, 2013)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4.2</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17">
              <w:r>
                <w:rPr>
                  <w:rStyle w:val="InternetLink"/>
                </w:rPr>
                <w:t xml:space="preserve">First Supplemental Indenture dated as of November  17, 2015 among the Company, the guarantors party thereto and The Bank of New York Mellon, as Trustee (incorporated by reference to Comcast’s Registration Statement on Form S-3, filed on November  23, 2015)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4.3</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18">
              <w:r>
                <w:rPr>
                  <w:rStyle w:val="InternetLink"/>
                </w:rPr>
                <w:t>Second Supplemental Indenture dated as of July  29, 2022 among the Company, the guarantors party thereto and The Bank of New York Mellon, as Trustee (incorporated by reference to Comcast’s Registration Statement on Form S-3, filed on July  29, 2022)</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4.4</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19">
              <w:r>
                <w:rPr>
                  <w:rStyle w:val="InternetLink"/>
                </w:rPr>
                <w:t xml:space="preserve">Form of Officers’ Certificate setting forth the terms of the Original Notes (incorporated by reference to Comcast’s Current Report on Form 8-K, filed on October 2, 2025)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4.5</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20">
              <w:r>
                <w:rPr>
                  <w:rStyle w:val="InternetLink"/>
                </w:rPr>
                <w:t xml:space="preserve">Form of Officers’ Certificate setting forth the terms of the Original Notes (incorporated by reference to Comcast’s Current Report on Form 8-K, filed on October 9, 2025)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4.6</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46.htm">
              <w:r>
                <w:rPr>
                  <w:rStyle w:val="InternetLink"/>
                </w:rPr>
                <w:t xml:space="preserve">Form of Officers’ Certificate setting forth the terms of the Exchange Notes*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4.7</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21">
              <w:r>
                <w:rPr>
                  <w:rStyle w:val="InternetLink"/>
                </w:rPr>
                <w:t xml:space="preserve">Registration Rights Agreement, dated as of October 2, 2025 (incorporated by reference to Comcast’s Current Report on Form 8-K, filed on October 2, 2025)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4.8</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r:id="rId22">
              <w:r>
                <w:rPr>
                  <w:rStyle w:val="InternetLink"/>
                </w:rPr>
                <w:t xml:space="preserve">Registration Rights Agreement, dated as of October 9, 2025 (incorporated by reference to Comcast’s Current Report on Form 8-K, filed on October 9, 2025)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5.1</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51.htm">
              <w:r>
                <w:rPr>
                  <w:rStyle w:val="InternetLink"/>
                </w:rPr>
                <w:t xml:space="preserve">Opinion of Elizabeth Wideman, Esquire*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5.2</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52.htm">
              <w:r>
                <w:rPr>
                  <w:rStyle w:val="InternetLink"/>
                </w:rPr>
                <w:t xml:space="preserve">Opinion of Davis Polk &amp; Wardwell LLP*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23.1</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231.htm">
              <w:r>
                <w:rPr>
                  <w:rStyle w:val="InternetLink"/>
                </w:rPr>
                <w:t xml:space="preserve">Consent of Deloitte &amp; Touche LLP*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23.2</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51.htm">
              <w:r>
                <w:rPr>
                  <w:rStyle w:val="InternetLink"/>
                </w:rPr>
                <w:t xml:space="preserve">Consent of Elizabeth Wideman, Esquire (included in Exhibit 5.1)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23.3</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52.htm">
              <w:r>
                <w:rPr>
                  <w:rStyle w:val="InternetLink"/>
                </w:rPr>
                <w:t>Consent of Davis Polk &amp; Wardwell LLP (included in Exhibit 5.2)</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24.1</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sig">
              <w:r>
                <w:rPr>
                  <w:rStyle w:val="InternetLink"/>
                </w:rPr>
                <w:t xml:space="preserve">Powers of Attorney (included on the signature pages hereof)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 </w:t>
            </w:r>
            <w:r>
              <w:rPr/>
              <w:t>25.1</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251.htm">
              <w:r>
                <w:rPr>
                  <w:rStyle w:val="InternetLink"/>
                </w:rPr>
                <w:t xml:space="preserve">Statement of Eligibility under the Trust Indenture Act of 1939, as amended, of The Bank of New York Mellon, as Trustee under the Senior Indenture, dated as of September 18, 2013*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107</w:t>
            </w:r>
          </w:p>
        </w:tc>
        <w:tc>
          <w:tcPr>
            <w:tcW w:w="67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44098dexfilingfees.htm">
              <w:r>
                <w:rPr>
                  <w:rStyle w:val="InternetLink"/>
                </w:rPr>
                <w:t xml:space="preserve">Calculation of 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registrants hereby undertakes 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AND POWER OF ATTORNEY FOR COMCAST CORPORATION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Comcast Corporation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July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COMCAST CORPORATION</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REID</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 Thomas J. Reid</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9"/>
        <w:gridCol w:w="204"/>
        <w:gridCol w:w="3572"/>
        <w:gridCol w:w="100"/>
        <w:gridCol w:w="2450"/>
      </w:tblGrid>
      <w:tr>
        <w:trPr/>
        <w:tc>
          <w:tcPr>
            <w:tcW w:w="387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4" w:type="dxa"/>
            <w:tcBorders/>
            <w:vAlign w:val="bottom"/>
          </w:tcPr>
          <w:p>
            <w:pPr>
              <w:pStyle w:val="TableContents"/>
              <w:bidi w:val="0"/>
              <w:spacing w:before="0" w:after="283"/>
              <w:jc w:val="left"/>
              <w:rPr/>
            </w:pPr>
            <w:r>
              <w:rPr/>
              <w:t>  </w:t>
            </w:r>
          </w:p>
        </w:tc>
        <w:tc>
          <w:tcPr>
            <w:tcW w:w="35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0"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L. ROBERTS</w:t>
            </w:r>
          </w:p>
          <w:p>
            <w:pPr>
              <w:pStyle w:val="TableContents"/>
              <w:bidi w:val="0"/>
              <w:spacing w:before="0" w:after="20"/>
              <w:jc w:val="center"/>
              <w:rPr>
                <w:rFonts w:ascii="Times New Roman" w:hAnsi="Times New Roman"/>
                <w:sz w:val="20"/>
              </w:rPr>
            </w:pPr>
            <w:r>
              <w:rPr>
                <w:rFonts w:ascii="Times New Roman" w:hAnsi="Times New Roman"/>
                <w:sz w:val="20"/>
              </w:rPr>
              <w:t>Brian L. Roberts</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center"/>
              <w:rPr>
                <w:rFonts w:ascii="Times New Roman" w:hAnsi="Times New Roman"/>
                <w:sz w:val="20"/>
              </w:rPr>
            </w:pPr>
            <w:r>
              <w:rPr>
                <w:rFonts w:ascii="Times New Roman" w:hAnsi="Times New Roman"/>
                <w:sz w:val="20"/>
              </w:rPr>
              <w:t>Chairman and Co-Chief Executive Officer;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J. CAVANAGH</w:t>
            </w:r>
          </w:p>
          <w:p>
            <w:pPr>
              <w:pStyle w:val="TableContents"/>
              <w:bidi w:val="0"/>
              <w:spacing w:before="0" w:after="20"/>
              <w:jc w:val="center"/>
              <w:rPr>
                <w:rFonts w:ascii="Times New Roman" w:hAnsi="Times New Roman"/>
                <w:sz w:val="20"/>
              </w:rPr>
            </w:pPr>
            <w:r>
              <w:rPr>
                <w:rFonts w:ascii="Times New Roman" w:hAnsi="Times New Roman"/>
                <w:sz w:val="20"/>
              </w:rPr>
              <w:t>Michael J. Cavanagh</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center"/>
              <w:rPr>
                <w:rFonts w:ascii="Times New Roman" w:hAnsi="Times New Roman"/>
                <w:sz w:val="20"/>
              </w:rPr>
            </w:pPr>
            <w:r>
              <w:rPr>
                <w:rFonts w:ascii="Times New Roman" w:hAnsi="Times New Roman"/>
                <w:sz w:val="20"/>
              </w:rPr>
              <w:t>Co-Chief Executive Officer;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w:t>
            </w:r>
          </w:p>
          <w:p>
            <w:pPr>
              <w:pStyle w:val="TableContents"/>
              <w:bidi w:val="0"/>
              <w:spacing w:before="0" w:after="20"/>
              <w:jc w:val="center"/>
              <w:rPr>
                <w:rFonts w:ascii="Times New Roman" w:hAnsi="Times New Roman"/>
                <w:sz w:val="20"/>
              </w:rPr>
            </w:pPr>
            <w:r>
              <w:rPr>
                <w:rFonts w:ascii="Times New Roman" w:hAnsi="Times New Roman"/>
                <w:sz w:val="20"/>
              </w:rPr>
              <w:t>Jason S. Armstrong</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(Principal Financial Officer)</w:t>
            </w:r>
          </w:p>
        </w:tc>
        <w:tc>
          <w:tcPr>
            <w:tcW w:w="10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w:t>
            </w:r>
          </w:p>
          <w:p>
            <w:pPr>
              <w:pStyle w:val="TableContents"/>
              <w:bidi w:val="0"/>
              <w:spacing w:before="0" w:after="20"/>
              <w:jc w:val="center"/>
              <w:rPr>
                <w:rFonts w:ascii="Times New Roman" w:hAnsi="Times New Roman"/>
                <w:sz w:val="20"/>
              </w:rPr>
            </w:pPr>
            <w:r>
              <w:rPr>
                <w:rFonts w:ascii="Times New Roman" w:hAnsi="Times New Roman"/>
                <w:sz w:val="20"/>
              </w:rPr>
              <w:t>Daniel C. Murdock</w:t>
            </w:r>
          </w:p>
        </w:tc>
        <w:tc>
          <w:tcPr>
            <w:tcW w:w="204"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Chief</w:t>
              <w:br/>
              <w:t>Accounting Officer and Controller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0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KENNETH J. BACON</w:t>
            </w:r>
          </w:p>
        </w:tc>
        <w:tc>
          <w:tcPr>
            <w:tcW w:w="204"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center"/>
              <w:rPr/>
            </w:pPr>
            <w:r>
              <w:rPr/>
              <w:t>Director</w:t>
            </w:r>
          </w:p>
        </w:tc>
        <w:tc>
          <w:tcPr>
            <w:tcW w:w="100"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9" w:type="dxa"/>
            <w:tcBorders/>
          </w:tcPr>
          <w:p>
            <w:pPr>
              <w:pStyle w:val="TableContents"/>
              <w:bidi w:val="0"/>
              <w:spacing w:before="0" w:after="283"/>
              <w:jc w:val="center"/>
              <w:rPr/>
            </w:pPr>
            <w:r>
              <w:rPr/>
              <w:t>Kenneth J. Bacon</w:t>
            </w:r>
          </w:p>
        </w:tc>
        <w:tc>
          <w:tcPr>
            <w:tcW w:w="204"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100"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J. BALTIMORE, JR.</w:t>
            </w:r>
          </w:p>
        </w:tc>
        <w:tc>
          <w:tcPr>
            <w:tcW w:w="204"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center"/>
              <w:rPr/>
            </w:pPr>
            <w:r>
              <w:rPr/>
              <w:t>Director</w:t>
            </w:r>
          </w:p>
        </w:tc>
        <w:tc>
          <w:tcPr>
            <w:tcW w:w="100"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9" w:type="dxa"/>
            <w:tcBorders/>
          </w:tcPr>
          <w:p>
            <w:pPr>
              <w:pStyle w:val="TableContents"/>
              <w:bidi w:val="0"/>
              <w:spacing w:before="0" w:after="283"/>
              <w:jc w:val="center"/>
              <w:rPr/>
            </w:pPr>
            <w:r>
              <w:rPr/>
              <w:t>Thomas J. Baltimore, Jr.</w:t>
            </w:r>
          </w:p>
        </w:tc>
        <w:tc>
          <w:tcPr>
            <w:tcW w:w="204"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100"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9"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0" w:type="dxa"/>
            <w:gridSpan w:val="2"/>
            <w:tcBorders/>
            <w:vAlign w:val="center"/>
          </w:tcPr>
          <w:p>
            <w:pPr>
              <w:pStyle w:val="TableContents"/>
              <w:bidi w:val="0"/>
              <w:spacing w:before="0" w:after="283"/>
              <w:jc w:val="left"/>
              <w:rPr>
                <w:sz w:val="4"/>
                <w:szCs w:val="4"/>
              </w:rPr>
            </w:pPr>
            <w:r>
              <w:rPr>
                <w:sz w:val="4"/>
                <w:szCs w:val="4"/>
              </w:rPr>
            </w:r>
          </w:p>
        </w:tc>
      </w:tr>
      <w:tr>
        <w:trPr/>
        <w:tc>
          <w:tcPr>
            <w:tcW w:w="3879"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MADELINE S. BELL</w:t>
            </w:r>
          </w:p>
        </w:tc>
        <w:tc>
          <w:tcPr>
            <w:tcW w:w="204"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center"/>
              <w:rPr/>
            </w:pPr>
            <w:r>
              <w:rPr/>
              <w:t>Director</w:t>
            </w:r>
          </w:p>
        </w:tc>
        <w:tc>
          <w:tcPr>
            <w:tcW w:w="100"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9" w:type="dxa"/>
            <w:tcBorders/>
          </w:tcPr>
          <w:p>
            <w:pPr>
              <w:pStyle w:val="TableContents"/>
              <w:bidi w:val="0"/>
              <w:spacing w:before="0" w:after="283"/>
              <w:jc w:val="center"/>
              <w:rPr/>
            </w:pPr>
            <w:r>
              <w:rPr/>
              <w:t>Madeline S. Bell</w:t>
            </w:r>
          </w:p>
        </w:tc>
        <w:tc>
          <w:tcPr>
            <w:tcW w:w="204"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100"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877"/>
        <w:gridCol w:w="203"/>
        <w:gridCol w:w="3573"/>
        <w:gridCol w:w="102"/>
        <w:gridCol w:w="2450"/>
      </w:tblGrid>
      <w:tr>
        <w:trPr/>
        <w:tc>
          <w:tcPr>
            <w:tcW w:w="38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387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3" w:type="dxa"/>
            <w:tcBorders/>
            <w:vAlign w:val="bottom"/>
          </w:tcPr>
          <w:p>
            <w:pPr>
              <w:pStyle w:val="TableContents"/>
              <w:bidi w:val="0"/>
              <w:spacing w:before="0" w:after="283"/>
              <w:jc w:val="left"/>
              <w:rPr/>
            </w:pPr>
            <w:r>
              <w:rPr/>
              <w:t>  </w:t>
            </w:r>
          </w:p>
        </w:tc>
        <w:tc>
          <w:tcPr>
            <w:tcW w:w="35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LOUISE F. BRADY</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7" w:type="dxa"/>
            <w:tcBorders/>
          </w:tcPr>
          <w:p>
            <w:pPr>
              <w:pStyle w:val="TableContents"/>
              <w:bidi w:val="0"/>
              <w:spacing w:before="0" w:after="283"/>
              <w:jc w:val="center"/>
              <w:rPr/>
            </w:pPr>
            <w:r>
              <w:rPr/>
              <w:t>Louise F. Brady</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EDWARD D. BREEN</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7" w:type="dxa"/>
            <w:tcBorders/>
          </w:tcPr>
          <w:p>
            <w:pPr>
              <w:pStyle w:val="TableContents"/>
              <w:bidi w:val="0"/>
              <w:spacing w:before="0" w:after="283"/>
              <w:jc w:val="center"/>
              <w:rPr/>
            </w:pPr>
            <w:r>
              <w:rPr/>
              <w:t>Edward D. Breen</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JEFFREY A. HONICKMAN</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0"/>
              <w:jc w:val="center"/>
              <w:rPr>
                <w:rFonts w:ascii="Times New Roman" w:hAnsi="Times New Roman"/>
                <w:sz w:val="20"/>
              </w:rPr>
            </w:pPr>
            <w:r>
              <w:rPr>
                <w:rFonts w:ascii="Times New Roman" w:hAnsi="Times New Roman"/>
                <w:sz w:val="20"/>
              </w:rPr>
              <w:t>July 30, 2026</w:t>
            </w:r>
          </w:p>
        </w:tc>
      </w:tr>
      <w:tr>
        <w:trPr/>
        <w:tc>
          <w:tcPr>
            <w:tcW w:w="3877" w:type="dxa"/>
            <w:tcBorders/>
          </w:tcPr>
          <w:p>
            <w:pPr>
              <w:pStyle w:val="TableContents"/>
              <w:bidi w:val="0"/>
              <w:spacing w:before="0" w:after="283"/>
              <w:jc w:val="center"/>
              <w:rPr/>
            </w:pPr>
            <w:r>
              <w:rPr/>
              <w:t>Jeffrey A. Honickman</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WONYA Y. LUCAS</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7" w:type="dxa"/>
            <w:tcBorders/>
          </w:tcPr>
          <w:p>
            <w:pPr>
              <w:pStyle w:val="TableContents"/>
              <w:bidi w:val="0"/>
              <w:spacing w:before="0" w:after="283"/>
              <w:jc w:val="center"/>
              <w:rPr/>
            </w:pPr>
            <w:r>
              <w:rPr/>
              <w:t>Wonya Y. Lucas</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ASUKA NAKAHARA</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7" w:type="dxa"/>
            <w:tcBorders/>
          </w:tcPr>
          <w:p>
            <w:pPr>
              <w:pStyle w:val="TableContents"/>
              <w:bidi w:val="0"/>
              <w:spacing w:before="0" w:after="283"/>
              <w:jc w:val="center"/>
              <w:rPr/>
            </w:pPr>
            <w:r>
              <w:rPr/>
              <w:t>Asuka Nakahara</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7"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387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GORDON SMITH</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283"/>
              <w:jc w:val="center"/>
              <w:rPr/>
            </w:pPr>
            <w:r>
              <w:rPr/>
              <w:t>Director</w:t>
            </w:r>
          </w:p>
        </w:tc>
        <w:tc>
          <w:tcPr>
            <w:tcW w:w="102"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7" w:type="dxa"/>
            <w:tcBorders/>
            <w:vAlign w:val="bottom"/>
          </w:tcPr>
          <w:p>
            <w:pPr>
              <w:pStyle w:val="TableContents"/>
              <w:bidi w:val="0"/>
              <w:spacing w:before="0" w:after="283"/>
              <w:jc w:val="center"/>
              <w:rPr/>
            </w:pPr>
            <w:r>
              <w:rPr/>
              <w:t>Gordon Smith</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AND POWER OF ATTORNEY FOR NBCUNIVERSAL MEDIA, LLC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NBCUniversal Media, LLC certifies that it has reasonable grounds to believe that it meets all the requirements for filing on Form S-4 and has duly caused this Registration Statement to be signed on its behalf by the undersigned, thereunto duly authorized, in the City of New York, State of New York, on July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NBCUNIVERSAL MEDIA,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REID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 Thomas J. Reid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Legal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8"/>
        <w:gridCol w:w="203"/>
        <w:gridCol w:w="3573"/>
        <w:gridCol w:w="101"/>
        <w:gridCol w:w="2450"/>
      </w:tblGrid>
      <w:tr>
        <w:trPr/>
        <w:tc>
          <w:tcPr>
            <w:tcW w:w="387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3" w:type="dxa"/>
            <w:tcBorders/>
            <w:vAlign w:val="bottom"/>
          </w:tcPr>
          <w:p>
            <w:pPr>
              <w:pStyle w:val="TableContents"/>
              <w:bidi w:val="0"/>
              <w:spacing w:before="0" w:after="283"/>
              <w:jc w:val="left"/>
              <w:rPr/>
            </w:pPr>
            <w:r>
              <w:rPr/>
              <w:t>  </w:t>
            </w:r>
          </w:p>
        </w:tc>
        <w:tc>
          <w:tcPr>
            <w:tcW w:w="35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BRIAN L. ROBERTS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Co-Principal Executive Officer of</w:t>
            </w:r>
          </w:p>
        </w:tc>
        <w:tc>
          <w:tcPr>
            <w:tcW w:w="101"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8" w:type="dxa"/>
            <w:tcBorders/>
          </w:tcPr>
          <w:p>
            <w:pPr>
              <w:pStyle w:val="TableContents"/>
              <w:bidi w:val="0"/>
              <w:spacing w:before="0" w:after="283"/>
              <w:jc w:val="center"/>
              <w:rPr/>
            </w:pPr>
            <w:r>
              <w:rPr/>
              <w:t>Brian L. Roberts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NBCUniversal Media, LLC</w:t>
            </w:r>
          </w:p>
        </w:tc>
        <w:tc>
          <w:tcPr>
            <w:tcW w:w="101"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J. CAVANAGH</w:t>
            </w:r>
          </w:p>
        </w:tc>
        <w:tc>
          <w:tcPr>
            <w:tcW w:w="203" w:type="dxa"/>
            <w:vMerge w:val="restart"/>
            <w:tcBorders/>
            <w:vAlign w:val="bottom"/>
          </w:tcPr>
          <w:p>
            <w:pPr>
              <w:pStyle w:val="TableContents"/>
              <w:bidi w:val="0"/>
              <w:spacing w:before="0" w:after="283"/>
              <w:jc w:val="left"/>
              <w:rPr/>
            </w:pPr>
            <w:r>
              <w:rPr/>
              <w:t>  </w:t>
            </w:r>
          </w:p>
        </w:tc>
        <w:tc>
          <w:tcPr>
            <w:tcW w:w="3573"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Co- Principal Executive Officer of</w:t>
            </w:r>
          </w:p>
          <w:p>
            <w:pPr>
              <w:pStyle w:val="TableContents"/>
              <w:bidi w:val="0"/>
              <w:spacing w:before="0" w:after="20"/>
              <w:jc w:val="center"/>
              <w:rPr>
                <w:rFonts w:ascii="Times New Roman" w:hAnsi="Times New Roman"/>
                <w:sz w:val="20"/>
              </w:rPr>
            </w:pPr>
            <w:r>
              <w:rPr>
                <w:rFonts w:ascii="Times New Roman" w:hAnsi="Times New Roman"/>
                <w:sz w:val="20"/>
              </w:rPr>
              <w:t>NBCUniversal Media, LLC</w:t>
            </w:r>
          </w:p>
        </w:tc>
        <w:tc>
          <w:tcPr>
            <w:tcW w:w="101" w:type="dxa"/>
            <w:vMerge w:val="restart"/>
            <w:tcBorders/>
            <w:vAlign w:val="bottom"/>
          </w:tcPr>
          <w:p>
            <w:pPr>
              <w:pStyle w:val="TableContents"/>
              <w:bidi w:val="0"/>
              <w:spacing w:before="0" w:after="283"/>
              <w:jc w:val="left"/>
              <w:rPr/>
            </w:pPr>
            <w:r>
              <w:rPr/>
              <w:t> </w:t>
            </w:r>
          </w:p>
        </w:tc>
        <w:tc>
          <w:tcPr>
            <w:tcW w:w="2450" w:type="dxa"/>
            <w:vMerge w:val="restart"/>
            <w:tcBorders/>
          </w:tcPr>
          <w:p>
            <w:pPr>
              <w:pStyle w:val="TableContents"/>
              <w:bidi w:val="0"/>
              <w:spacing w:before="0" w:after="283"/>
              <w:jc w:val="center"/>
              <w:rPr/>
            </w:pPr>
            <w:r>
              <w:rPr/>
              <w:t>July 30, 2026</w:t>
            </w:r>
          </w:p>
        </w:tc>
      </w:tr>
      <w:tr>
        <w:trPr/>
        <w:tc>
          <w:tcPr>
            <w:tcW w:w="3878" w:type="dxa"/>
            <w:tcBorders/>
          </w:tcPr>
          <w:p>
            <w:pPr>
              <w:pStyle w:val="TableContents"/>
              <w:bidi w:val="0"/>
              <w:spacing w:before="0" w:after="283"/>
              <w:jc w:val="center"/>
              <w:rPr/>
            </w:pPr>
            <w:r>
              <w:rPr/>
              <w:t>Michael J. Cavanagh</w:t>
            </w:r>
          </w:p>
        </w:tc>
        <w:tc>
          <w:tcPr>
            <w:tcW w:w="203" w:type="dxa"/>
            <w:vMerge w:val="continue"/>
            <w:tcBorders/>
            <w:vAlign w:val="bottom"/>
          </w:tcPr>
          <w:p>
            <w:pPr>
              <w:pStyle w:val="Normal"/>
              <w:bidi w:val="0"/>
              <w:jc w:val="left"/>
              <w:rPr/>
            </w:pPr>
            <w:r>
              <w:rPr/>
            </w:r>
          </w:p>
        </w:tc>
        <w:tc>
          <w:tcPr>
            <w:tcW w:w="3573" w:type="dxa"/>
            <w:vMerge w:val="continue"/>
            <w:tcBorders/>
            <w:vAlign w:val="bottom"/>
          </w:tcPr>
          <w:p>
            <w:pPr>
              <w:pStyle w:val="Normal"/>
              <w:bidi w:val="0"/>
              <w:jc w:val="left"/>
              <w:rPr/>
            </w:pPr>
            <w:r>
              <w:rPr/>
            </w:r>
          </w:p>
        </w:tc>
        <w:tc>
          <w:tcPr>
            <w:tcW w:w="101" w:type="dxa"/>
            <w:vMerge w:val="continue"/>
            <w:tcBorders/>
            <w:vAlign w:val="bottom"/>
          </w:tcPr>
          <w:p>
            <w:pPr>
              <w:pStyle w:val="Normal"/>
              <w:bidi w:val="0"/>
              <w:jc w:val="left"/>
              <w:rPr/>
            </w:pPr>
            <w:r>
              <w:rPr/>
            </w:r>
          </w:p>
        </w:tc>
        <w:tc>
          <w:tcPr>
            <w:tcW w:w="2450" w:type="dxa"/>
            <w:vMerge w:val="continue"/>
            <w:tcBorders/>
          </w:tcPr>
          <w:p>
            <w:pPr>
              <w:pStyle w:val="Normal"/>
              <w:bidi w:val="0"/>
              <w:jc w:val="left"/>
              <w:rPr/>
            </w:pPr>
            <w:r>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w:t>
            </w:r>
          </w:p>
          <w:p>
            <w:pPr>
              <w:pStyle w:val="TableContents"/>
              <w:bidi w:val="0"/>
              <w:spacing w:before="0" w:after="20"/>
              <w:jc w:val="center"/>
              <w:rPr>
                <w:rFonts w:ascii="Times New Roman" w:hAnsi="Times New Roman"/>
                <w:sz w:val="20"/>
              </w:rPr>
            </w:pPr>
            <w:r>
              <w:rPr>
                <w:rFonts w:ascii="Times New Roman" w:hAnsi="Times New Roman"/>
                <w:sz w:val="20"/>
              </w:rPr>
              <w:t>Jason S. Armstrong</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Principal Financial Officer of NBCUniversal Media, LLC; Director of NBCUniversal, LLC, Sole Member of NBCUniversal Media,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w:t>
            </w:r>
          </w:p>
          <w:p>
            <w:pPr>
              <w:pStyle w:val="TableContents"/>
              <w:bidi w:val="0"/>
              <w:spacing w:before="0" w:after="20"/>
              <w:jc w:val="center"/>
              <w:rPr>
                <w:rFonts w:ascii="Times New Roman" w:hAnsi="Times New Roman"/>
                <w:sz w:val="20"/>
              </w:rPr>
            </w:pPr>
            <w:r>
              <w:rPr>
                <w:rFonts w:ascii="Times New Roman" w:hAnsi="Times New Roman"/>
                <w:sz w:val="20"/>
              </w:rPr>
              <w:t>Daniel C. Murdock</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Principal Accounting Officer of NBCUniversal Media,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J. REID</w:t>
            </w:r>
          </w:p>
          <w:p>
            <w:pPr>
              <w:pStyle w:val="TableContents"/>
              <w:bidi w:val="0"/>
              <w:spacing w:before="0" w:after="20"/>
              <w:jc w:val="center"/>
              <w:rPr>
                <w:rFonts w:ascii="Times New Roman" w:hAnsi="Times New Roman"/>
                <w:sz w:val="20"/>
              </w:rPr>
            </w:pPr>
            <w:r>
              <w:rPr>
                <w:rFonts w:ascii="Times New Roman" w:hAnsi="Times New Roman"/>
                <w:sz w:val="20"/>
              </w:rPr>
              <w:t>Thomas J. Reid</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Director of NBCUniversal, LLC, Sole Member of NBCUniversal Media,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ADAM L. MILLER</w:t>
            </w:r>
          </w:p>
          <w:p>
            <w:pPr>
              <w:pStyle w:val="TableContents"/>
              <w:bidi w:val="0"/>
              <w:spacing w:before="0" w:after="20"/>
              <w:jc w:val="center"/>
              <w:rPr>
                <w:rFonts w:ascii="Times New Roman" w:hAnsi="Times New Roman"/>
                <w:sz w:val="20"/>
              </w:rPr>
            </w:pPr>
            <w:r>
              <w:rPr>
                <w:rFonts w:ascii="Times New Roman" w:hAnsi="Times New Roman"/>
                <w:sz w:val="20"/>
              </w:rPr>
              <w:t>Adam L. Miller</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Director of NBCUniversal, LLC, Sole Member of NBCUniversal Media,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AND POWER OF ATTORNEY FOR COMCAST CABLE COMMUNICATIONS, LLC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Comcast Cable Communications, LLC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July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COMCAST CABLE COMMUNICATIONS,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THOMAS J. REID</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 Thomas J. Reid</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Legal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8"/>
        <w:gridCol w:w="203"/>
        <w:gridCol w:w="3573"/>
        <w:gridCol w:w="101"/>
        <w:gridCol w:w="2450"/>
      </w:tblGrid>
      <w:tr>
        <w:trPr/>
        <w:tc>
          <w:tcPr>
            <w:tcW w:w="387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3" w:type="dxa"/>
            <w:tcBorders/>
            <w:vAlign w:val="bottom"/>
          </w:tcPr>
          <w:p>
            <w:pPr>
              <w:pStyle w:val="TableContents"/>
              <w:bidi w:val="0"/>
              <w:spacing w:before="0" w:after="283"/>
              <w:jc w:val="left"/>
              <w:rPr/>
            </w:pPr>
            <w:r>
              <w:rPr/>
              <w:t>  </w:t>
            </w:r>
          </w:p>
        </w:tc>
        <w:tc>
          <w:tcPr>
            <w:tcW w:w="35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BRIAN L. ROBERTS</w:t>
            </w:r>
          </w:p>
          <w:p>
            <w:pPr>
              <w:pStyle w:val="TableContents"/>
              <w:bidi w:val="0"/>
              <w:spacing w:before="0" w:after="20"/>
              <w:jc w:val="center"/>
              <w:rPr>
                <w:rFonts w:ascii="Times New Roman" w:hAnsi="Times New Roman"/>
                <w:sz w:val="20"/>
              </w:rPr>
            </w:pPr>
            <w:r>
              <w:rPr>
                <w:rFonts w:ascii="Times New Roman" w:hAnsi="Times New Roman"/>
                <w:sz w:val="20"/>
              </w:rPr>
              <w:t>Brian L. Roberts</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Co-Principal Executive Officer of Comcast Cable Communications,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J. CAVANAGH</w:t>
            </w:r>
          </w:p>
          <w:p>
            <w:pPr>
              <w:pStyle w:val="TableContents"/>
              <w:bidi w:val="0"/>
              <w:spacing w:before="0" w:after="20"/>
              <w:jc w:val="center"/>
              <w:rPr>
                <w:rFonts w:ascii="Times New Roman" w:hAnsi="Times New Roman"/>
                <w:sz w:val="20"/>
              </w:rPr>
            </w:pPr>
            <w:r>
              <w:rPr>
                <w:rFonts w:ascii="Times New Roman" w:hAnsi="Times New Roman"/>
                <w:sz w:val="20"/>
              </w:rPr>
              <w:t>Michael J. Cavanagh</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Co-Principal Executive Officer of Comcast Cable Communications,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JASON S. ARMSTRONG</w:t>
            </w:r>
          </w:p>
          <w:p>
            <w:pPr>
              <w:pStyle w:val="TableContents"/>
              <w:bidi w:val="0"/>
              <w:spacing w:before="0" w:after="20"/>
              <w:jc w:val="center"/>
              <w:rPr>
                <w:rFonts w:ascii="Times New Roman" w:hAnsi="Times New Roman"/>
                <w:sz w:val="20"/>
              </w:rPr>
            </w:pPr>
            <w:r>
              <w:rPr>
                <w:rFonts w:ascii="Times New Roman" w:hAnsi="Times New Roman"/>
                <w:sz w:val="20"/>
              </w:rPr>
              <w:t>Jason S. Armstrong</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Principal Financial Officer of Comcast Cable Communications,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C. MURDOCK</w:t>
            </w:r>
          </w:p>
          <w:p>
            <w:pPr>
              <w:pStyle w:val="TableContents"/>
              <w:bidi w:val="0"/>
              <w:spacing w:before="0" w:after="20"/>
              <w:jc w:val="center"/>
              <w:rPr>
                <w:rFonts w:ascii="Times New Roman" w:hAnsi="Times New Roman"/>
                <w:sz w:val="20"/>
              </w:rPr>
            </w:pPr>
            <w:r>
              <w:rPr>
                <w:rFonts w:ascii="Times New Roman" w:hAnsi="Times New Roman"/>
                <w:sz w:val="20"/>
              </w:rPr>
              <w:t>Daniel C. Murdock</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Principal Accounting Officer of Comcast Cable Communications,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J. REID</w:t>
            </w:r>
          </w:p>
          <w:p>
            <w:pPr>
              <w:pStyle w:val="TableContents"/>
              <w:bidi w:val="0"/>
              <w:spacing w:before="0" w:after="20"/>
              <w:jc w:val="center"/>
              <w:rPr>
                <w:rFonts w:ascii="Times New Roman" w:hAnsi="Times New Roman"/>
                <w:sz w:val="20"/>
              </w:rPr>
            </w:pPr>
            <w:r>
              <w:rPr>
                <w:rFonts w:ascii="Times New Roman" w:hAnsi="Times New Roman"/>
                <w:sz w:val="20"/>
              </w:rPr>
              <w:t>Thomas J. Reid</w:t>
            </w:r>
          </w:p>
        </w:tc>
        <w:tc>
          <w:tcPr>
            <w:tcW w:w="203"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center"/>
              <w:rPr/>
            </w:pPr>
            <w:r>
              <w:rPr/>
              <w:t>Director of Comcast Holdings Corporation, Sole Member of Comcast Cable Communications,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July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18" w:name="d44098dex46.htm"/>
      <w:bookmarkStart w:id="19" w:name="ksd44098dex46"/>
      <w:bookmarkEnd w:id="18"/>
      <w:bookmarkEnd w:id="19"/>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Officers’ Certificate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b/>
          <w:sz w:val="20"/>
        </w:rPr>
        <w:t>, 2026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Section 2.03 of the Indenture dated as of September 18, 2013, by and among Comcast Corporation (the “</w:t>
      </w:r>
      <w:r>
        <w:rPr>
          <w:rFonts w:ascii="Times New Roman" w:hAnsi="Times New Roman"/>
          <w:b/>
          <w:sz w:val="20"/>
        </w:rPr>
        <w:t>Company</w:t>
      </w:r>
      <w:r>
        <w:rPr>
          <w:rFonts w:ascii="Times New Roman" w:hAnsi="Times New Roman"/>
          <w:sz w:val="20"/>
        </w:rPr>
        <w:t>”), the guarantors named therein and The Bank of New York Mellon, as trustee (the “</w:t>
      </w:r>
      <w:r>
        <w:rPr>
          <w:rFonts w:ascii="Times New Roman" w:hAnsi="Times New Roman"/>
          <w:b/>
          <w:sz w:val="20"/>
        </w:rPr>
        <w:t>Trustee</w:t>
      </w:r>
      <w:r>
        <w:rPr>
          <w:rFonts w:ascii="Times New Roman" w:hAnsi="Times New Roman"/>
          <w:sz w:val="20"/>
        </w:rPr>
        <w:t>”), as supplemented by the First Supplemental Indenture dated as of November 17, 2015 (the “</w:t>
      </w:r>
      <w:r>
        <w:rPr>
          <w:rFonts w:ascii="Times New Roman" w:hAnsi="Times New Roman"/>
          <w:b/>
          <w:sz w:val="20"/>
        </w:rPr>
        <w:t>First Supplemental Indenture</w:t>
      </w:r>
      <w:r>
        <w:rPr>
          <w:rFonts w:ascii="Times New Roman" w:hAnsi="Times New Roman"/>
          <w:sz w:val="20"/>
        </w:rPr>
        <w:t>”), by and among the Company, the guarantors named therein and the Trustee and as further supplemented by the Second Supplemental Indenture dated as of July 29, 2022 (the “</w:t>
      </w:r>
      <w:r>
        <w:rPr>
          <w:rFonts w:ascii="Times New Roman" w:hAnsi="Times New Roman"/>
          <w:b/>
          <w:sz w:val="20"/>
        </w:rPr>
        <w:t>Second Supplemental Indenture</w:t>
      </w:r>
      <w:r>
        <w:rPr>
          <w:rFonts w:ascii="Times New Roman" w:hAnsi="Times New Roman"/>
          <w:sz w:val="20"/>
        </w:rPr>
        <w:t>”) by and among the Company, the guarantors named therein and the Trustee (as amended and supplemented, the “</w:t>
      </w:r>
      <w:r>
        <w:rPr>
          <w:rFonts w:ascii="Times New Roman" w:hAnsi="Times New Roman"/>
          <w:b/>
          <w:sz w:val="20"/>
        </w:rPr>
        <w:t>Indenture</w:t>
      </w:r>
      <w:r>
        <w:rPr>
          <w:rFonts w:ascii="Times New Roman" w:hAnsi="Times New Roman"/>
          <w:sz w:val="20"/>
        </w:rPr>
        <w:t>”) and guaranteed on an unsecured and unsubordinated basis by Comcast Cable Communications, LLC and NBCUniversal Media, LLC (the “</w:t>
      </w:r>
      <w:r>
        <w:rPr>
          <w:rFonts w:ascii="Times New Roman" w:hAnsi="Times New Roman"/>
          <w:b/>
          <w:sz w:val="20"/>
        </w:rPr>
        <w:t>Guarantors</w:t>
      </w:r>
      <w:r>
        <w:rPr>
          <w:rFonts w:ascii="Times New Roman" w:hAnsi="Times New Roman"/>
          <w:sz w:val="20"/>
        </w:rPr>
        <w:t>”), the undersigned officers of the Company do hereby certify, in connection with the issuance of the Company’s $[ ] aggregate principal amount of 5.168% Notes due 2037 (the “</w:t>
      </w:r>
      <w:r>
        <w:rPr>
          <w:rFonts w:ascii="Times New Roman" w:hAnsi="Times New Roman"/>
          <w:b/>
          <w:sz w:val="20"/>
        </w:rPr>
        <w:t>Notes</w:t>
      </w:r>
      <w:r>
        <w:rPr>
          <w:rFonts w:ascii="Times New Roman" w:hAnsi="Times New Roman"/>
          <w:sz w:val="20"/>
        </w:rPr>
        <w:t xml:space="preserve">”), that the terms of the Notes are as follows: </w:t>
      </w:r>
    </w:p>
    <w:p>
      <w:pPr>
        <w:pStyle w:val="TextBody"/>
        <w:bidi w:val="0"/>
        <w:spacing w:before="240" w:after="0"/>
        <w:jc w:val="center"/>
        <w:rPr>
          <w:rFonts w:ascii="Times New Roman" w:hAnsi="Times New Roman"/>
          <w:b/>
          <w:sz w:val="20"/>
        </w:rPr>
      </w:pPr>
      <w:r>
        <w:rPr>
          <w:rFonts w:ascii="Times New Roman" w:hAnsi="Times New Roman"/>
          <w:b/>
          <w:sz w:val="20"/>
          <w:u w:val="single"/>
        </w:rPr>
        <w:t>5.168% Notes due 2037</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21"/>
        <w:gridCol w:w="124"/>
        <w:gridCol w:w="5760"/>
      </w:tblGrid>
      <w:tr>
        <w:trPr/>
        <w:tc>
          <w:tcPr>
            <w:tcW w:w="432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7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321" w:type="dxa"/>
            <w:tcBorders/>
            <w:vAlign w:val="center"/>
          </w:tcPr>
          <w:p>
            <w:pPr>
              <w:pStyle w:val="TableContents"/>
              <w:bidi w:val="0"/>
              <w:spacing w:before="0" w:after="283"/>
              <w:jc w:val="left"/>
              <w:rPr>
                <w:sz w:val="4"/>
                <w:szCs w:val="4"/>
              </w:rPr>
            </w:pPr>
            <w:r>
              <w:rPr>
                <w:sz w:val="4"/>
                <w:szCs w:val="4"/>
              </w:rPr>
            </w:r>
          </w:p>
        </w:tc>
        <w:tc>
          <w:tcPr>
            <w:tcW w:w="5884" w:type="dxa"/>
            <w:gridSpan w:val="2"/>
            <w:tcBorders/>
            <w:vAlign w:val="center"/>
          </w:tcPr>
          <w:p>
            <w:pPr>
              <w:pStyle w:val="TableContents"/>
              <w:bidi w:val="0"/>
              <w:spacing w:before="0" w:after="283"/>
              <w:jc w:val="left"/>
              <w:rPr>
                <w:sz w:val="4"/>
                <w:szCs w:val="4"/>
              </w:rPr>
            </w:pPr>
            <w:r>
              <w:rPr>
                <w:sz w:val="4"/>
                <w:szCs w:val="4"/>
              </w:rPr>
            </w:r>
          </w:p>
        </w:tc>
      </w:tr>
      <w:tr>
        <w:trPr/>
        <w:tc>
          <w:tcPr>
            <w:tcW w:w="4321" w:type="dxa"/>
            <w:tcBorders/>
          </w:tcPr>
          <w:p>
            <w:pPr>
              <w:pStyle w:val="TableContents"/>
              <w:bidi w:val="0"/>
              <w:spacing w:before="0" w:after="283"/>
              <w:jc w:val="left"/>
              <w:rPr>
                <w:i/>
              </w:rPr>
            </w:pPr>
            <w:r>
              <w:rPr>
                <w:i/>
              </w:rPr>
              <w:t>Title:</w:t>
            </w:r>
          </w:p>
        </w:tc>
        <w:tc>
          <w:tcPr>
            <w:tcW w:w="124" w:type="dxa"/>
            <w:tcBorders/>
            <w:vAlign w:val="bottom"/>
          </w:tcPr>
          <w:p>
            <w:pPr>
              <w:pStyle w:val="TableContents"/>
              <w:bidi w:val="0"/>
              <w:spacing w:before="0" w:after="283"/>
              <w:jc w:val="left"/>
              <w:rPr/>
            </w:pPr>
            <w:r>
              <w:rPr/>
              <w:t>  </w:t>
            </w:r>
          </w:p>
        </w:tc>
        <w:tc>
          <w:tcPr>
            <w:tcW w:w="5760" w:type="dxa"/>
            <w:tcBorders/>
          </w:tcPr>
          <w:p>
            <w:pPr>
              <w:pStyle w:val="TableContents"/>
              <w:bidi w:val="0"/>
              <w:spacing w:before="0" w:after="283"/>
              <w:jc w:val="left"/>
              <w:rPr/>
            </w:pPr>
            <w:r>
              <w:rPr/>
              <w:t>5.168% Notes due 2037</w:t>
            </w:r>
          </w:p>
        </w:tc>
      </w:tr>
      <w:tr>
        <w:trPr>
          <w:trHeight w:val="120" w:hRule="atLeast"/>
        </w:trPr>
        <w:tc>
          <w:tcPr>
            <w:tcW w:w="4321" w:type="dxa"/>
            <w:tcBorders/>
            <w:vAlign w:val="center"/>
          </w:tcPr>
          <w:p>
            <w:pPr>
              <w:pStyle w:val="TableContents"/>
              <w:bidi w:val="0"/>
              <w:spacing w:before="0" w:after="283"/>
              <w:jc w:val="left"/>
              <w:rPr>
                <w:sz w:val="4"/>
                <w:szCs w:val="4"/>
              </w:rPr>
            </w:pPr>
            <w:r>
              <w:rPr>
                <w:sz w:val="4"/>
                <w:szCs w:val="4"/>
              </w:rPr>
            </w:r>
          </w:p>
        </w:tc>
        <w:tc>
          <w:tcPr>
            <w:tcW w:w="5884" w:type="dxa"/>
            <w:gridSpan w:val="2"/>
            <w:tcBorders/>
            <w:vAlign w:val="center"/>
          </w:tcPr>
          <w:p>
            <w:pPr>
              <w:pStyle w:val="TableContents"/>
              <w:bidi w:val="0"/>
              <w:spacing w:before="0" w:after="283"/>
              <w:jc w:val="left"/>
              <w:rPr>
                <w:sz w:val="4"/>
                <w:szCs w:val="4"/>
              </w:rPr>
            </w:pPr>
            <w:r>
              <w:rPr>
                <w:sz w:val="4"/>
                <w:szCs w:val="4"/>
              </w:rPr>
            </w:r>
          </w:p>
        </w:tc>
      </w:tr>
      <w:tr>
        <w:trPr/>
        <w:tc>
          <w:tcPr>
            <w:tcW w:w="4321" w:type="dxa"/>
            <w:tcBorders/>
          </w:tcPr>
          <w:p>
            <w:pPr>
              <w:pStyle w:val="TableContents"/>
              <w:bidi w:val="0"/>
              <w:spacing w:before="0" w:after="283"/>
              <w:jc w:val="left"/>
              <w:rPr>
                <w:i/>
              </w:rPr>
            </w:pPr>
            <w:r>
              <w:rPr>
                <w:i/>
              </w:rPr>
              <w:t>Aggregate Principal Amount at Maturity:</w:t>
            </w:r>
          </w:p>
        </w:tc>
        <w:tc>
          <w:tcPr>
            <w:tcW w:w="124" w:type="dxa"/>
            <w:tcBorders/>
            <w:vAlign w:val="bottom"/>
          </w:tcPr>
          <w:p>
            <w:pPr>
              <w:pStyle w:val="TableContents"/>
              <w:bidi w:val="0"/>
              <w:spacing w:before="0" w:after="283"/>
              <w:jc w:val="left"/>
              <w:rPr/>
            </w:pPr>
            <w:r>
              <w:rPr/>
              <w:t>  </w:t>
            </w:r>
          </w:p>
        </w:tc>
        <w:tc>
          <w:tcPr>
            <w:tcW w:w="5760" w:type="dxa"/>
            <w:tcBorders/>
          </w:tcPr>
          <w:p>
            <w:pPr>
              <w:pStyle w:val="TableContents"/>
              <w:bidi w:val="0"/>
              <w:spacing w:before="0" w:after="283"/>
              <w:jc w:val="left"/>
              <w:rPr/>
            </w:pPr>
            <w:r>
              <w:rPr/>
              <w:t>$[ ]</w:t>
            </w:r>
          </w:p>
        </w:tc>
      </w:tr>
      <w:tr>
        <w:trPr>
          <w:trHeight w:val="120" w:hRule="atLeast"/>
        </w:trPr>
        <w:tc>
          <w:tcPr>
            <w:tcW w:w="4321" w:type="dxa"/>
            <w:tcBorders/>
            <w:vAlign w:val="center"/>
          </w:tcPr>
          <w:p>
            <w:pPr>
              <w:pStyle w:val="TableContents"/>
              <w:bidi w:val="0"/>
              <w:spacing w:before="0" w:after="283"/>
              <w:jc w:val="left"/>
              <w:rPr>
                <w:sz w:val="4"/>
                <w:szCs w:val="4"/>
              </w:rPr>
            </w:pPr>
            <w:r>
              <w:rPr>
                <w:sz w:val="4"/>
                <w:szCs w:val="4"/>
              </w:rPr>
            </w:r>
          </w:p>
        </w:tc>
        <w:tc>
          <w:tcPr>
            <w:tcW w:w="5884" w:type="dxa"/>
            <w:gridSpan w:val="2"/>
            <w:tcBorders/>
            <w:vAlign w:val="center"/>
          </w:tcPr>
          <w:p>
            <w:pPr>
              <w:pStyle w:val="TableContents"/>
              <w:bidi w:val="0"/>
              <w:spacing w:before="0" w:after="283"/>
              <w:jc w:val="left"/>
              <w:rPr>
                <w:sz w:val="4"/>
                <w:szCs w:val="4"/>
              </w:rPr>
            </w:pPr>
            <w:r>
              <w:rPr>
                <w:sz w:val="4"/>
                <w:szCs w:val="4"/>
              </w:rPr>
            </w:r>
          </w:p>
        </w:tc>
      </w:tr>
      <w:tr>
        <w:trPr/>
        <w:tc>
          <w:tcPr>
            <w:tcW w:w="4321" w:type="dxa"/>
            <w:tcBorders/>
          </w:tcPr>
          <w:p>
            <w:pPr>
              <w:pStyle w:val="TableContents"/>
              <w:bidi w:val="0"/>
              <w:spacing w:before="0" w:after="283"/>
              <w:jc w:val="left"/>
              <w:rPr>
                <w:i/>
              </w:rPr>
            </w:pPr>
            <w:r>
              <w:rPr>
                <w:i/>
              </w:rPr>
              <w:t>Principal Payment Date:</w:t>
            </w:r>
          </w:p>
        </w:tc>
        <w:tc>
          <w:tcPr>
            <w:tcW w:w="124" w:type="dxa"/>
            <w:tcBorders/>
            <w:vAlign w:val="bottom"/>
          </w:tcPr>
          <w:p>
            <w:pPr>
              <w:pStyle w:val="TableContents"/>
              <w:bidi w:val="0"/>
              <w:spacing w:before="0" w:after="283"/>
              <w:jc w:val="left"/>
              <w:rPr/>
            </w:pPr>
            <w:r>
              <w:rPr/>
              <w:t>  </w:t>
            </w:r>
          </w:p>
        </w:tc>
        <w:tc>
          <w:tcPr>
            <w:tcW w:w="5760" w:type="dxa"/>
            <w:tcBorders/>
          </w:tcPr>
          <w:p>
            <w:pPr>
              <w:pStyle w:val="TableContents"/>
              <w:bidi w:val="0"/>
              <w:spacing w:before="0" w:after="283"/>
              <w:jc w:val="left"/>
              <w:rPr/>
            </w:pPr>
            <w:r>
              <w:rPr/>
              <w:t>January 15, 2037</w:t>
            </w:r>
          </w:p>
        </w:tc>
      </w:tr>
      <w:tr>
        <w:trPr>
          <w:trHeight w:val="120" w:hRule="atLeast"/>
        </w:trPr>
        <w:tc>
          <w:tcPr>
            <w:tcW w:w="4321" w:type="dxa"/>
            <w:tcBorders/>
            <w:vAlign w:val="center"/>
          </w:tcPr>
          <w:p>
            <w:pPr>
              <w:pStyle w:val="TableContents"/>
              <w:bidi w:val="0"/>
              <w:spacing w:before="0" w:after="283"/>
              <w:jc w:val="left"/>
              <w:rPr>
                <w:sz w:val="4"/>
                <w:szCs w:val="4"/>
              </w:rPr>
            </w:pPr>
            <w:r>
              <w:rPr>
                <w:sz w:val="4"/>
                <w:szCs w:val="4"/>
              </w:rPr>
            </w:r>
          </w:p>
        </w:tc>
        <w:tc>
          <w:tcPr>
            <w:tcW w:w="5884" w:type="dxa"/>
            <w:gridSpan w:val="2"/>
            <w:tcBorders/>
            <w:vAlign w:val="center"/>
          </w:tcPr>
          <w:p>
            <w:pPr>
              <w:pStyle w:val="TableContents"/>
              <w:bidi w:val="0"/>
              <w:spacing w:before="0" w:after="283"/>
              <w:jc w:val="left"/>
              <w:rPr>
                <w:sz w:val="4"/>
                <w:szCs w:val="4"/>
              </w:rPr>
            </w:pPr>
            <w:r>
              <w:rPr>
                <w:sz w:val="4"/>
                <w:szCs w:val="4"/>
              </w:rPr>
            </w:r>
          </w:p>
        </w:tc>
      </w:tr>
      <w:tr>
        <w:trPr/>
        <w:tc>
          <w:tcPr>
            <w:tcW w:w="4321" w:type="dxa"/>
            <w:tcBorders/>
          </w:tcPr>
          <w:p>
            <w:pPr>
              <w:pStyle w:val="TableContents"/>
              <w:bidi w:val="0"/>
              <w:spacing w:before="0" w:after="283"/>
              <w:jc w:val="left"/>
              <w:rPr>
                <w:i/>
              </w:rPr>
            </w:pPr>
            <w:r>
              <w:rPr>
                <w:i/>
              </w:rPr>
              <w:t>Interest:</w:t>
            </w:r>
          </w:p>
        </w:tc>
        <w:tc>
          <w:tcPr>
            <w:tcW w:w="124" w:type="dxa"/>
            <w:tcBorders/>
            <w:vAlign w:val="bottom"/>
          </w:tcPr>
          <w:p>
            <w:pPr>
              <w:pStyle w:val="TableContents"/>
              <w:bidi w:val="0"/>
              <w:spacing w:before="0" w:after="283"/>
              <w:jc w:val="left"/>
              <w:rPr/>
            </w:pPr>
            <w:r>
              <w:rPr/>
              <w:t>  </w:t>
            </w:r>
          </w:p>
        </w:tc>
        <w:tc>
          <w:tcPr>
            <w:tcW w:w="5760" w:type="dxa"/>
            <w:tcBorders/>
          </w:tcPr>
          <w:p>
            <w:pPr>
              <w:pStyle w:val="TableContents"/>
              <w:bidi w:val="0"/>
              <w:spacing w:before="0" w:after="283"/>
              <w:jc w:val="left"/>
              <w:rPr/>
            </w:pPr>
            <w:r>
              <w:rPr/>
              <w:t>5.168%</w:t>
            </w:r>
          </w:p>
        </w:tc>
      </w:tr>
      <w:tr>
        <w:trPr>
          <w:trHeight w:val="120" w:hRule="atLeast"/>
        </w:trPr>
        <w:tc>
          <w:tcPr>
            <w:tcW w:w="4321" w:type="dxa"/>
            <w:tcBorders/>
            <w:vAlign w:val="center"/>
          </w:tcPr>
          <w:p>
            <w:pPr>
              <w:pStyle w:val="TableContents"/>
              <w:bidi w:val="0"/>
              <w:spacing w:before="0" w:after="283"/>
              <w:jc w:val="left"/>
              <w:rPr>
                <w:sz w:val="4"/>
                <w:szCs w:val="4"/>
              </w:rPr>
            </w:pPr>
            <w:r>
              <w:rPr>
                <w:sz w:val="4"/>
                <w:szCs w:val="4"/>
              </w:rPr>
            </w:r>
          </w:p>
        </w:tc>
        <w:tc>
          <w:tcPr>
            <w:tcW w:w="5884" w:type="dxa"/>
            <w:gridSpan w:val="2"/>
            <w:tcBorders/>
            <w:vAlign w:val="center"/>
          </w:tcPr>
          <w:p>
            <w:pPr>
              <w:pStyle w:val="TableContents"/>
              <w:bidi w:val="0"/>
              <w:spacing w:before="0" w:after="283"/>
              <w:jc w:val="left"/>
              <w:rPr>
                <w:sz w:val="4"/>
                <w:szCs w:val="4"/>
              </w:rPr>
            </w:pPr>
            <w:r>
              <w:rPr>
                <w:sz w:val="4"/>
                <w:szCs w:val="4"/>
              </w:rPr>
            </w:r>
          </w:p>
        </w:tc>
      </w:tr>
      <w:tr>
        <w:trPr/>
        <w:tc>
          <w:tcPr>
            <w:tcW w:w="4321" w:type="dxa"/>
            <w:tcBorders/>
          </w:tcPr>
          <w:p>
            <w:pPr>
              <w:pStyle w:val="TableContents"/>
              <w:bidi w:val="0"/>
              <w:spacing w:before="0" w:after="283"/>
              <w:jc w:val="left"/>
              <w:rPr>
                <w:i/>
              </w:rPr>
            </w:pPr>
            <w:r>
              <w:rPr>
                <w:i/>
              </w:rPr>
              <w:t>Redemption:</w:t>
            </w:r>
          </w:p>
        </w:tc>
        <w:tc>
          <w:tcPr>
            <w:tcW w:w="124" w:type="dxa"/>
            <w:tcBorders/>
            <w:vAlign w:val="bottom"/>
          </w:tcPr>
          <w:p>
            <w:pPr>
              <w:pStyle w:val="TableContents"/>
              <w:bidi w:val="0"/>
              <w:spacing w:before="0" w:after="283"/>
              <w:jc w:val="left"/>
              <w:rPr/>
            </w:pPr>
            <w:r>
              <w:rPr/>
              <w:t>  </w:t>
            </w:r>
          </w:p>
        </w:tc>
        <w:tc>
          <w:tcPr>
            <w:tcW w:w="5760" w:type="dxa"/>
            <w:tcBorders/>
          </w:tcPr>
          <w:p>
            <w:pPr>
              <w:pStyle w:val="TableContents"/>
              <w:bidi w:val="0"/>
              <w:spacing w:before="0" w:after="0"/>
              <w:jc w:val="left"/>
              <w:rPr>
                <w:rFonts w:ascii="Times New Roman" w:hAnsi="Times New Roman"/>
                <w:sz w:val="20"/>
              </w:rPr>
            </w:pPr>
            <w:r>
              <w:rPr>
                <w:rFonts w:ascii="Times New Roman" w:hAnsi="Times New Roman"/>
                <w:sz w:val="20"/>
              </w:rPr>
              <w:t>Prior to October 15, 2036 (three months prior to the maturity date of the Notes) (the “Par Call Date”), the Company may redeem the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for this purpose, that the Notes matured on the Par Call Date) on a semi-annual basis (assuming a 360-day year consisting of twelve 30-day months) at the Treasury Rate (as defined in the Notes) plus 15 basis points, less (b) interest accrued to the date of redemption, and (2) 100% of the principal amount of the Notes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336"/>
        <w:gridCol w:w="121"/>
        <w:gridCol w:w="5748"/>
      </w:tblGrid>
      <w:tr>
        <w:trPr/>
        <w:tc>
          <w:tcPr>
            <w:tcW w:w="43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74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336" w:type="dxa"/>
            <w:tcBorders/>
            <w:vAlign w:val="center"/>
          </w:tcPr>
          <w:p>
            <w:pPr>
              <w:pStyle w:val="TableContents"/>
              <w:bidi w:val="0"/>
              <w:spacing w:before="0" w:after="283"/>
              <w:jc w:val="left"/>
              <w:rPr>
                <w:sz w:val="4"/>
                <w:szCs w:val="4"/>
              </w:rPr>
            </w:pPr>
            <w:r>
              <w:rPr>
                <w:sz w:val="4"/>
                <w:szCs w:val="4"/>
              </w:rPr>
            </w:r>
          </w:p>
        </w:tc>
        <w:tc>
          <w:tcPr>
            <w:tcW w:w="5869" w:type="dxa"/>
            <w:gridSpan w:val="2"/>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283"/>
              <w:jc w:val="left"/>
              <w:rPr>
                <w:i/>
              </w:rPr>
            </w:pPr>
            <w:r>
              <w:rPr>
                <w:i/>
              </w:rPr>
              <w:t>Additional Issuances:</w:t>
            </w:r>
          </w:p>
        </w:tc>
        <w:tc>
          <w:tcPr>
            <w:tcW w:w="121" w:type="dxa"/>
            <w:tcBorders/>
            <w:vAlign w:val="bottom"/>
          </w:tcPr>
          <w:p>
            <w:pPr>
              <w:pStyle w:val="TableContents"/>
              <w:bidi w:val="0"/>
              <w:spacing w:before="0" w:after="283"/>
              <w:jc w:val="left"/>
              <w:rPr/>
            </w:pPr>
            <w:r>
              <w:rPr/>
              <w:t>  </w:t>
            </w:r>
          </w:p>
        </w:tc>
        <w:tc>
          <w:tcPr>
            <w:tcW w:w="5748" w:type="dxa"/>
            <w:tcBorders/>
          </w:tcPr>
          <w:p>
            <w:pPr>
              <w:pStyle w:val="TableContents"/>
              <w:bidi w:val="0"/>
              <w:spacing w:before="0" w:after="283"/>
              <w:jc w:val="left"/>
              <w:rPr/>
            </w:pPr>
            <w:r>
              <w:rPr/>
              <w:t>The Notes need not be issued at the same time and the series may be reopened for issuance of an unlimited principal amount of additional Notes under this series. Additional Notes of this series may be consolidated with, and form a single series with, the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Notes are not fungible with the Notes then outstanding for U.S. federal income tax purposes, such additional Notes will have one or more separate CUSIP numbers.</w:t>
            </w:r>
          </w:p>
        </w:tc>
      </w:tr>
      <w:tr>
        <w:trPr>
          <w:trHeight w:val="120" w:hRule="atLeast"/>
        </w:trPr>
        <w:tc>
          <w:tcPr>
            <w:tcW w:w="4336" w:type="dxa"/>
            <w:tcBorders/>
            <w:vAlign w:val="center"/>
          </w:tcPr>
          <w:p>
            <w:pPr>
              <w:pStyle w:val="TableContents"/>
              <w:bidi w:val="0"/>
              <w:spacing w:before="0" w:after="283"/>
              <w:jc w:val="left"/>
              <w:rPr>
                <w:sz w:val="4"/>
                <w:szCs w:val="4"/>
              </w:rPr>
            </w:pPr>
            <w:r>
              <w:rPr>
                <w:sz w:val="4"/>
                <w:szCs w:val="4"/>
              </w:rPr>
            </w:r>
          </w:p>
        </w:tc>
        <w:tc>
          <w:tcPr>
            <w:tcW w:w="5869" w:type="dxa"/>
            <w:gridSpan w:val="2"/>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283"/>
              <w:jc w:val="left"/>
              <w:rPr>
                <w:i/>
              </w:rPr>
            </w:pPr>
            <w:r>
              <w:rPr>
                <w:i/>
              </w:rPr>
              <w:t>Conversion:</w:t>
            </w:r>
          </w:p>
        </w:tc>
        <w:tc>
          <w:tcPr>
            <w:tcW w:w="121" w:type="dxa"/>
            <w:tcBorders/>
            <w:vAlign w:val="bottom"/>
          </w:tcPr>
          <w:p>
            <w:pPr>
              <w:pStyle w:val="TableContents"/>
              <w:bidi w:val="0"/>
              <w:spacing w:before="0" w:after="283"/>
              <w:jc w:val="left"/>
              <w:rPr/>
            </w:pPr>
            <w:r>
              <w:rPr/>
              <w:t>  </w:t>
            </w:r>
          </w:p>
        </w:tc>
        <w:tc>
          <w:tcPr>
            <w:tcW w:w="5748" w:type="dxa"/>
            <w:tcBorders/>
          </w:tcPr>
          <w:p>
            <w:pPr>
              <w:pStyle w:val="TableContents"/>
              <w:bidi w:val="0"/>
              <w:spacing w:before="0" w:after="283"/>
              <w:jc w:val="left"/>
              <w:rPr/>
            </w:pPr>
            <w:r>
              <w:rPr/>
              <w:t>None</w:t>
            </w:r>
          </w:p>
        </w:tc>
      </w:tr>
      <w:tr>
        <w:trPr>
          <w:trHeight w:val="120" w:hRule="atLeast"/>
        </w:trPr>
        <w:tc>
          <w:tcPr>
            <w:tcW w:w="4336" w:type="dxa"/>
            <w:tcBorders/>
            <w:vAlign w:val="center"/>
          </w:tcPr>
          <w:p>
            <w:pPr>
              <w:pStyle w:val="TableContents"/>
              <w:bidi w:val="0"/>
              <w:spacing w:before="0" w:after="283"/>
              <w:jc w:val="left"/>
              <w:rPr>
                <w:sz w:val="4"/>
                <w:szCs w:val="4"/>
              </w:rPr>
            </w:pPr>
            <w:r>
              <w:rPr>
                <w:sz w:val="4"/>
                <w:szCs w:val="4"/>
              </w:rPr>
            </w:r>
          </w:p>
        </w:tc>
        <w:tc>
          <w:tcPr>
            <w:tcW w:w="5869" w:type="dxa"/>
            <w:gridSpan w:val="2"/>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283"/>
              <w:jc w:val="left"/>
              <w:rPr>
                <w:i/>
              </w:rPr>
            </w:pPr>
            <w:r>
              <w:rPr>
                <w:i/>
              </w:rPr>
              <w:t>Sinking Fund:</w:t>
            </w:r>
          </w:p>
        </w:tc>
        <w:tc>
          <w:tcPr>
            <w:tcW w:w="121" w:type="dxa"/>
            <w:tcBorders/>
            <w:vAlign w:val="bottom"/>
          </w:tcPr>
          <w:p>
            <w:pPr>
              <w:pStyle w:val="TableContents"/>
              <w:bidi w:val="0"/>
              <w:spacing w:before="0" w:after="283"/>
              <w:jc w:val="left"/>
              <w:rPr/>
            </w:pPr>
            <w:r>
              <w:rPr/>
              <w:t>  </w:t>
            </w:r>
          </w:p>
        </w:tc>
        <w:tc>
          <w:tcPr>
            <w:tcW w:w="5748" w:type="dxa"/>
            <w:tcBorders/>
          </w:tcPr>
          <w:p>
            <w:pPr>
              <w:pStyle w:val="TableContents"/>
              <w:bidi w:val="0"/>
              <w:spacing w:before="0" w:after="283"/>
              <w:jc w:val="left"/>
              <w:rPr/>
            </w:pPr>
            <w:r>
              <w:rPr/>
              <w:t>None</w:t>
            </w:r>
          </w:p>
        </w:tc>
      </w:tr>
      <w:tr>
        <w:trPr>
          <w:trHeight w:val="120" w:hRule="atLeast"/>
        </w:trPr>
        <w:tc>
          <w:tcPr>
            <w:tcW w:w="4336" w:type="dxa"/>
            <w:tcBorders/>
            <w:vAlign w:val="center"/>
          </w:tcPr>
          <w:p>
            <w:pPr>
              <w:pStyle w:val="TableContents"/>
              <w:bidi w:val="0"/>
              <w:spacing w:before="0" w:after="283"/>
              <w:jc w:val="left"/>
              <w:rPr>
                <w:sz w:val="4"/>
                <w:szCs w:val="4"/>
              </w:rPr>
            </w:pPr>
            <w:r>
              <w:rPr>
                <w:sz w:val="4"/>
                <w:szCs w:val="4"/>
              </w:rPr>
            </w:r>
          </w:p>
        </w:tc>
        <w:tc>
          <w:tcPr>
            <w:tcW w:w="5869" w:type="dxa"/>
            <w:gridSpan w:val="2"/>
            <w:tcBorders/>
            <w:vAlign w:val="center"/>
          </w:tcPr>
          <w:p>
            <w:pPr>
              <w:pStyle w:val="TableContents"/>
              <w:bidi w:val="0"/>
              <w:spacing w:before="0" w:after="283"/>
              <w:jc w:val="left"/>
              <w:rPr>
                <w:sz w:val="4"/>
                <w:szCs w:val="4"/>
              </w:rPr>
            </w:pPr>
            <w:r>
              <w:rPr>
                <w:sz w:val="4"/>
                <w:szCs w:val="4"/>
              </w:rPr>
            </w:r>
          </w:p>
        </w:tc>
      </w:tr>
      <w:tr>
        <w:trPr/>
        <w:tc>
          <w:tcPr>
            <w:tcW w:w="4336" w:type="dxa"/>
            <w:tcBorders/>
          </w:tcPr>
          <w:p>
            <w:pPr>
              <w:pStyle w:val="TableContents"/>
              <w:bidi w:val="0"/>
              <w:spacing w:before="0" w:after="283"/>
              <w:jc w:val="left"/>
              <w:rPr>
                <w:i/>
              </w:rPr>
            </w:pPr>
            <w:r>
              <w:rPr>
                <w:i/>
              </w:rPr>
              <w:t>Miscellaneous:</w:t>
            </w:r>
          </w:p>
        </w:tc>
        <w:tc>
          <w:tcPr>
            <w:tcW w:w="121" w:type="dxa"/>
            <w:tcBorders/>
            <w:vAlign w:val="bottom"/>
          </w:tcPr>
          <w:p>
            <w:pPr>
              <w:pStyle w:val="TableContents"/>
              <w:bidi w:val="0"/>
              <w:spacing w:before="0" w:after="283"/>
              <w:jc w:val="left"/>
              <w:rPr/>
            </w:pPr>
            <w:r>
              <w:rPr/>
              <w:t>  </w:t>
            </w:r>
          </w:p>
        </w:tc>
        <w:tc>
          <w:tcPr>
            <w:tcW w:w="5748" w:type="dxa"/>
            <w:tcBorders/>
          </w:tcPr>
          <w:p>
            <w:pPr>
              <w:pStyle w:val="TableContents"/>
              <w:bidi w:val="0"/>
              <w:spacing w:before="0" w:after="283"/>
              <w:jc w:val="left"/>
              <w:rPr/>
            </w:pPr>
            <w:r>
              <w:rPr/>
              <w:t xml:space="preserve">The terms of the Notes shall include such other terms as are set forth in the Form of Note due 2037 attached hereto as </w:t>
            </w:r>
            <w:r>
              <w:rPr>
                <w:b/>
                <w:u w:val="single"/>
              </w:rPr>
              <w:t>Exhibit A</w:t>
            </w: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such officer has made such examination or investigation as is necessary to enable such officer to express an informed opinion as to whether or not the covenants and conditions of such Indenture relating to the issuance, authentication and delivery of the Notes have been complied with. In such officer’s opinion, such covenants and conditions have been complied 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officers of the Company have duly executed this certificate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Charles V. Gavitt</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Vice President and Assistant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Elizabeth Wideman</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Senior Deputy General Counsel and Assistant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Officers’ Certificate Pursuant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NOTE DUE 2037] </w:t>
      </w:r>
    </w:p>
    <w:p>
      <w:pPr>
        <w:pStyle w:val="TextBody"/>
        <w:bidi w:val="0"/>
        <w:spacing w:before="240" w:after="0"/>
        <w:jc w:val="left"/>
        <w:rPr>
          <w:rFonts w:ascii="Times New Roman" w:hAnsi="Times New Roman"/>
          <w:sz w:val="20"/>
        </w:rPr>
      </w:pPr>
      <w:r>
        <w:rPr>
          <w:rFonts w:ascii="Times New Roman" w:hAnsi="Times New Roman"/>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5.168% Note due 2037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1"/>
        <w:gridCol w:w="122"/>
        <w:gridCol w:w="5172"/>
      </w:tblGrid>
      <w:tr>
        <w:trPr/>
        <w:tc>
          <w:tcPr>
            <w:tcW w:w="49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172" w:type="dxa"/>
            <w:tcBorders/>
            <w:vAlign w:val="center"/>
          </w:tcPr>
          <w:p>
            <w:pPr>
              <w:pStyle w:val="TableContents"/>
              <w:bidi w:val="0"/>
              <w:spacing w:before="0" w:after="283"/>
              <w:jc w:val="left"/>
              <w:rPr>
                <w:sz w:val="4"/>
                <w:szCs w:val="4"/>
              </w:rPr>
            </w:pPr>
            <w:r>
              <w:rPr>
                <w:sz w:val="4"/>
                <w:szCs w:val="4"/>
              </w:rPr>
            </w:r>
          </w:p>
        </w:tc>
      </w:tr>
      <w:tr>
        <w:trPr/>
        <w:tc>
          <w:tcPr>
            <w:tcW w:w="4911" w:type="dxa"/>
            <w:tcBorders/>
          </w:tcPr>
          <w:p>
            <w:pPr>
              <w:pStyle w:val="TableContents"/>
              <w:bidi w:val="0"/>
              <w:spacing w:before="0" w:after="0"/>
              <w:jc w:val="left"/>
              <w:rPr>
                <w:rFonts w:ascii="Times New Roman" w:hAnsi="Times New Roman"/>
                <w:sz w:val="20"/>
              </w:rPr>
            </w:pPr>
            <w:r>
              <w:rPr>
                <w:rFonts w:ascii="Times New Roman" w:hAnsi="Times New Roman"/>
                <w:sz w:val="20"/>
              </w:rPr>
              <w:t>No. [  ]</w:t>
            </w:r>
          </w:p>
        </w:tc>
        <w:tc>
          <w:tcPr>
            <w:tcW w:w="122" w:type="dxa"/>
            <w:tcBorders/>
            <w:vAlign w:val="bottom"/>
          </w:tcPr>
          <w:p>
            <w:pPr>
              <w:pStyle w:val="TableContents"/>
              <w:bidi w:val="0"/>
              <w:spacing w:before="0" w:after="283"/>
              <w:jc w:val="left"/>
              <w:rPr/>
            </w:pPr>
            <w:r>
              <w:rPr/>
              <w:t>  </w:t>
            </w:r>
          </w:p>
        </w:tc>
        <w:tc>
          <w:tcPr>
            <w:tcW w:w="5172" w:type="dxa"/>
            <w:tcBorders/>
            <w:vAlign w:val="bottom"/>
          </w:tcPr>
          <w:p>
            <w:pPr>
              <w:pStyle w:val="TableContents"/>
              <w:bidi w:val="0"/>
              <w:spacing w:before="0" w:after="283"/>
              <w:jc w:val="right"/>
              <w:rPr/>
            </w:pPr>
            <w:r>
              <w:rPr/>
              <w:t>CUSIP No.: 20030N ET4</w:t>
            </w:r>
          </w:p>
        </w:tc>
      </w:tr>
      <w:tr>
        <w:trPr/>
        <w:tc>
          <w:tcPr>
            <w:tcW w:w="491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172" w:type="dxa"/>
            <w:tcBorders/>
            <w:vAlign w:val="bottom"/>
          </w:tcPr>
          <w:p>
            <w:pPr>
              <w:pStyle w:val="TableContents"/>
              <w:bidi w:val="0"/>
              <w:spacing w:before="0" w:after="283"/>
              <w:jc w:val="right"/>
              <w:rPr/>
            </w:pPr>
            <w:r>
              <w:rPr/>
              <w:t>ISIN No.: US20030NET46</w:t>
            </w:r>
          </w:p>
        </w:tc>
      </w:tr>
      <w:tr>
        <w:trPr/>
        <w:tc>
          <w:tcPr>
            <w:tcW w:w="491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172" w:type="dxa"/>
            <w:tcBorders/>
            <w:vAlign w:val="bottom"/>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which term includes any successor corporation), for value received promises to pay to CEDE &amp; CO. or registered assigns, the principal sum of $[    ] ([    ]Dollars) on January 15, 2037. </w:t>
      </w:r>
    </w:p>
    <w:p>
      <w:pPr>
        <w:pStyle w:val="TextBody"/>
        <w:bidi w:val="0"/>
        <w:spacing w:before="240" w:after="0"/>
        <w:jc w:val="left"/>
        <w:rPr>
          <w:rFonts w:ascii="Times New Roman" w:hAnsi="Times New Roman"/>
          <w:sz w:val="20"/>
        </w:rPr>
      </w:pPr>
      <w:r>
        <w:rPr>
          <w:rFonts w:ascii="Times New Roman" w:hAnsi="Times New Roman"/>
          <w:sz w:val="20"/>
        </w:rPr>
        <w:t>Interest Payment Dates: January 15 and July 15 (each, an “</w:t>
      </w:r>
      <w:r>
        <w:rPr>
          <w:rFonts w:ascii="Times New Roman" w:hAnsi="Times New Roman"/>
          <w:b/>
          <w:sz w:val="20"/>
        </w:rPr>
        <w:t>Interest Payment Date</w:t>
      </w:r>
      <w:r>
        <w:rPr>
          <w:rFonts w:ascii="Times New Roman" w:hAnsi="Times New Roman"/>
          <w:sz w:val="20"/>
        </w:rPr>
        <w:t xml:space="preserve">”), commencing on January 15, 2027. </w:t>
      </w:r>
    </w:p>
    <w:p>
      <w:pPr>
        <w:pStyle w:val="TextBody"/>
        <w:bidi w:val="0"/>
        <w:spacing w:before="240" w:after="0"/>
        <w:jc w:val="left"/>
        <w:rPr>
          <w:rFonts w:ascii="Times New Roman" w:hAnsi="Times New Roman"/>
          <w:sz w:val="20"/>
        </w:rPr>
      </w:pPr>
      <w:r>
        <w:rPr>
          <w:rFonts w:ascii="Times New Roman" w:hAnsi="Times New Roman"/>
          <w:sz w:val="20"/>
        </w:rPr>
        <w:t>Interest Record Dates: January 1 and July 1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COMCAST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 </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Charles V. Gavitt</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Vice President and Assistant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[Seal of Comcast Corporation] </w:t>
      </w:r>
    </w:p>
    <w:p>
      <w:pPr>
        <w:pStyle w:val="TextBody"/>
        <w:bidi w:val="0"/>
        <w:spacing w:before="240" w:after="0"/>
        <w:jc w:val="left"/>
        <w:rPr>
          <w:rFonts w:ascii="Times New Roman" w:hAnsi="Times New Roman"/>
          <w:sz w:val="20"/>
        </w:rPr>
      </w:pPr>
      <w:r>
        <w:rPr>
          <w:rFonts w:ascii="Times New Roman" w:hAnsi="Times New Roman"/>
          <w:sz w:val="20"/>
        </w:rPr>
        <w:t xml:space="preserve">Attest: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695"/>
        <w:gridCol w:w="60"/>
        <w:gridCol w:w="2901"/>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1" w:type="dxa"/>
            <w:tcBorders/>
            <w:vAlign w:val="bottom"/>
          </w:tcPr>
          <w:p>
            <w:pPr>
              <w:pStyle w:val="TableContents"/>
              <w:bidi w:val="0"/>
              <w:spacing w:before="0" w:after="283"/>
              <w:jc w:val="left"/>
              <w:rPr/>
            </w:pPr>
            <w:r>
              <w:rPr/>
              <w:t>Elizabeth Wideman</w:t>
            </w:r>
          </w:p>
        </w:tc>
      </w:tr>
      <w:tr>
        <w:trPr/>
        <w:tc>
          <w:tcPr>
            <w:tcW w:w="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1" w:type="dxa"/>
            <w:tcBorders/>
            <w:vAlign w:val="bottom"/>
          </w:tcPr>
          <w:p>
            <w:pPr>
              <w:pStyle w:val="TableContents"/>
              <w:bidi w:val="0"/>
              <w:spacing w:before="0" w:after="283"/>
              <w:jc w:val="left"/>
              <w:rPr/>
            </w:pPr>
            <w:r>
              <w:rPr/>
              <w:t>Senior Vice President, Senior Deputy General Counsel and Assistant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br/>
              <w:t>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sz w:val="20"/>
        </w:rPr>
      </w:pPr>
      <w:r>
        <w:rPr>
          <w:rFonts w:ascii="Times New Roman" w:hAnsi="Times New Roman"/>
          <w:sz w:val="20"/>
        </w:rPr>
        <w:t xml:space="preserve">COMCAST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5.168% Note due 2037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w:t>
            </w:r>
          </w:p>
        </w:tc>
      </w:tr>
    </w:tbl>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promises to pay interest on the principal amount of this Security at the rate per annum shown above. Cash interest on the Securities will accrue from the most recent date to which interest has been paid or, if no interest has been paid, from October 2, 2025. The Issuer will pay interest semi-annually in arrears on each Interest Payment Date, commencing January 15, 2027.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Securities and on overdue installments of interest (without regard to any applicable grace periods)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w:t>
            </w:r>
          </w:p>
        </w:tc>
      </w:tr>
    </w:tbl>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hAnsi="Times New Roman"/>
          <w:b/>
          <w:sz w:val="20"/>
        </w:rPr>
        <w:t>Trustee</w:t>
      </w:r>
      <w:r>
        <w:rPr>
          <w:rFonts w:ascii="Times New Roman" w:hAnsi="Times New Roman"/>
          <w:sz w:val="20"/>
        </w:rPr>
        <w:t>”) to collect principal payments. The Issuer shall pay principal and interest in money of the United States that at the time of payment is legal tender for payment of public and private debts (“</w:t>
      </w:r>
      <w:r>
        <w:rPr>
          <w:rFonts w:ascii="Times New Roman" w:hAnsi="Times New Roman"/>
          <w:b/>
          <w:sz w:val="20"/>
        </w:rPr>
        <w:t>U.S. Legal Tender</w:t>
      </w:r>
      <w:r>
        <w:rPr>
          <w:rFonts w:ascii="Times New Roman" w:hAnsi="Times New Roman"/>
          <w:sz w:val="20"/>
        </w:rPr>
        <w:t xml:space="preserve">”).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The Issuer may change any Paying Agent without notice to the Holders.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Indenture. </w:t>
            </w:r>
          </w:p>
        </w:tc>
      </w:tr>
    </w:tbl>
    <w:p>
      <w:pPr>
        <w:pStyle w:val="TextBody"/>
        <w:bidi w:val="0"/>
        <w:spacing w:before="240" w:after="0"/>
        <w:jc w:val="left"/>
        <w:rPr>
          <w:rFonts w:ascii="Times New Roman" w:hAnsi="Times New Roman"/>
          <w:sz w:val="20"/>
        </w:rPr>
      </w:pPr>
      <w:r>
        <w:rPr>
          <w:rFonts w:ascii="Times New Roman" w:hAnsi="Times New Roman"/>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hAnsi="Times New Roman"/>
          <w:b/>
          <w:sz w:val="20"/>
        </w:rPr>
        <w:t>Guarantors</w:t>
      </w:r>
      <w:r>
        <w:rPr>
          <w:rFonts w:ascii="Times New Roman" w:hAnsi="Times New Roman"/>
          <w:sz w:val="20"/>
        </w:rPr>
        <w:t>”) and the Trustee and as further amended by the Second Supplemental Indenture dated as of July 29, 2022, by and among the Issuer, the Guarantors and the Trustee (as amended, the “</w:t>
      </w:r>
      <w:r>
        <w:rPr>
          <w:rFonts w:ascii="Times New Roman" w:hAnsi="Times New Roman"/>
          <w:b/>
          <w:sz w:val="20"/>
        </w:rPr>
        <w:t>Indenture</w:t>
      </w:r>
      <w:r>
        <w:rPr>
          <w:rFonts w:ascii="Times New Roman" w:hAnsi="Times New Roman"/>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hAnsi="Times New Roman"/>
          <w:b/>
          <w:sz w:val="20"/>
        </w:rPr>
        <w:t>Security</w:t>
      </w:r>
      <w:r>
        <w:rPr>
          <w:rFonts w:ascii="Times New Roman" w:hAnsi="Times New Roman"/>
          <w:sz w:val="20"/>
        </w:rPr>
        <w:t>” and the notes are “</w:t>
      </w:r>
      <w:r>
        <w:rPr>
          <w:rFonts w:ascii="Times New Roman" w:hAnsi="Times New Roman"/>
          <w:b/>
          <w:sz w:val="20"/>
        </w:rPr>
        <w:t>Securities</w:t>
      </w:r>
      <w:r>
        <w:rPr>
          <w:rFonts w:ascii="Times New Roman" w:hAnsi="Times New Roman"/>
          <w:sz w:val="20"/>
        </w:rPr>
        <w:t xml:space="preserve">”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Unclaimed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at its written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that, all liability of the Trustee and such Paying Agent with respect to such funds shall cease.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Defeasance and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Prior to October 15, 2036 (three months prior to the maturity date of the Securities) (the “</w:t>
      </w:r>
      <w:r>
        <w:rPr>
          <w:rFonts w:ascii="Times New Roman" w:hAnsi="Times New Roman"/>
          <w:b/>
          <w:sz w:val="20"/>
        </w:rPr>
        <w:t>Par Call Date</w:t>
      </w:r>
      <w:r>
        <w:rPr>
          <w:rFonts w:ascii="Times New Roman" w:hAnsi="Times New Roman"/>
          <w:sz w:val="20"/>
        </w:rPr>
        <w:t xml:space="preserve">”), the Issuer may redeem the Securities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100% of the principal amount of the Securities to be redeemed 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Securities, in whole or in part, at any time and from time to time, at a redemption price equal to 100% of the principal amount of the Securities being redeemed, plus accrued and unpaid interest thereon to the redemption date.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The Trustee shall not be responsible for determining or calculating the redemption price or any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Securities or portions thereof called for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electronically or manually signs the certificate of authentication on this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and Defined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36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360" w:after="0"/>
        <w:jc w:val="left"/>
        <w:rPr>
          <w:rFonts w:ascii="Times New Roman" w:hAnsi="Times New Roman"/>
          <w:sz w:val="20"/>
        </w:rPr>
      </w:pPr>
      <w:r>
        <w:rPr>
          <w:rFonts w:ascii="Times New Roman" w:hAnsi="Times New Roman"/>
          <w:sz w:val="20"/>
        </w:rPr>
        <w:t xml:space="preserve">and irrevocably appoint_________________________________________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8"/>
        <w:gridCol w:w="108"/>
        <w:gridCol w:w="3921"/>
        <w:gridCol w:w="108"/>
        <w:gridCol w:w="394"/>
        <w:gridCol w:w="108"/>
        <w:gridCol w:w="714"/>
        <w:gridCol w:w="108"/>
        <w:gridCol w:w="4146"/>
      </w:tblGrid>
      <w:tr>
        <w:trPr/>
        <w:tc>
          <w:tcPr>
            <w:tcW w:w="59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46" w:type="dxa"/>
            <w:tcBorders/>
            <w:vAlign w:val="center"/>
          </w:tcPr>
          <w:p>
            <w:pPr>
              <w:pStyle w:val="TableContents"/>
              <w:bidi w:val="0"/>
              <w:spacing w:before="0" w:after="283"/>
              <w:jc w:val="left"/>
              <w:rPr>
                <w:sz w:val="4"/>
                <w:szCs w:val="4"/>
              </w:rPr>
            </w:pPr>
            <w:r>
              <w:rPr>
                <w:sz w:val="4"/>
                <w:szCs w:val="4"/>
              </w:rPr>
            </w:r>
          </w:p>
        </w:tc>
      </w:tr>
      <w:tr>
        <w:trPr/>
        <w:tc>
          <w:tcPr>
            <w:tcW w:w="598" w:type="dxa"/>
            <w:tcBorders/>
          </w:tcPr>
          <w:p>
            <w:pPr>
              <w:pStyle w:val="TableContents"/>
              <w:bidi w:val="0"/>
              <w:spacing w:before="0" w:after="283"/>
              <w:jc w:val="left"/>
              <w:rPr/>
            </w:pPr>
            <w:r>
              <w:rPr/>
              <w:t>Dated: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921"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Signed: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46" w:type="dxa"/>
            <w:tcBorders>
              <w:bottom w:val="single" w:sz="2" w:space="0" w:color="000000"/>
            </w:tcBorders>
            <w:tcMar>
              <w:bottom w:w="28" w:type="dxa"/>
            </w:tcMar>
          </w:tcPr>
          <w:p>
            <w:pPr>
              <w:pStyle w:val="TableContents"/>
              <w:bidi w:val="0"/>
              <w:spacing w:before="0" w:after="283"/>
              <w:jc w:val="left"/>
              <w:rPr/>
            </w:pPr>
            <w:r>
              <w:rPr/>
              <w:t> </w:t>
            </w:r>
          </w:p>
        </w:tc>
      </w:tr>
      <w:tr>
        <w:trPr/>
        <w:tc>
          <w:tcPr>
            <w:tcW w:w="59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2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46" w:type="dxa"/>
            <w:tcBorders/>
          </w:tcPr>
          <w:p>
            <w:pPr>
              <w:pStyle w:val="TableContents"/>
              <w:bidi w:val="0"/>
              <w:spacing w:before="0" w:after="0"/>
              <w:jc w:val="left"/>
              <w:rPr>
                <w:rFonts w:ascii="Times New Roman" w:hAnsi="Times New Roman"/>
                <w:sz w:val="20"/>
              </w:rPr>
            </w:pPr>
            <w:r>
              <w:rPr>
                <w:rFonts w:ascii="Times New Roman" w:hAnsi="Times New Roman"/>
                <w:sz w:val="20"/>
              </w:rPr>
              <w:t>(Signed exactly as name appears on the other side of this Security)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20"/>
        <w:gridCol w:w="926"/>
        <w:gridCol w:w="120"/>
        <w:gridCol w:w="7029"/>
      </w:tblGrid>
      <w:tr>
        <w:trPr/>
        <w:tc>
          <w:tcPr>
            <w:tcW w:w="2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29" w:type="dxa"/>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tc>
        <w:tc>
          <w:tcPr>
            <w:tcW w:w="120"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29" w:type="dxa"/>
            <w:tcBorders/>
          </w:tcPr>
          <w:p>
            <w:pPr>
              <w:pStyle w:val="TableContents"/>
              <w:bidi w:val="0"/>
              <w:spacing w:before="0" w:after="0"/>
              <w:jc w:val="left"/>
              <w:rPr>
                <w:u w:val="single"/>
              </w:rPr>
            </w:pPr>
            <w:r>
              <w:rPr>
                <w:u w:val="single"/>
              </w:rPr>
              <w:t xml:space="preserve">                      </w:t>
            </w:r>
          </w:p>
        </w:tc>
      </w:tr>
      <w:tr>
        <w:trPr/>
        <w:tc>
          <w:tcPr>
            <w:tcW w:w="20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029" w:type="dxa"/>
            <w:tcBorders/>
          </w:tcPr>
          <w:p>
            <w:pPr>
              <w:pStyle w:val="TableContents"/>
              <w:bidi w:val="0"/>
              <w:spacing w:before="0" w:after="283"/>
              <w:jc w:val="left"/>
              <w:rPr/>
            </w:pPr>
            <w:r>
              <w:rPr/>
              <w:t>Participant in a recognized Signature Guarantee</w:t>
              <w:br/>
              <w:t>Medallion Program (or other signature guarantor</w:t>
              <w:br/>
              <w:t>program reasonably acceptable to the Trustee)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Security for certificated Notes or a part of another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w:t>
              <w:br/>
              <w:t>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w:t>
              <w:br/>
              <w:t>in 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br/>
              <w:t>increase</w:t>
              <w:br/>
              <w:t>in Principal</w:t>
              <w:br/>
              <w:t>Amount of</w:t>
            </w:r>
          </w:p>
          <w:p>
            <w:pPr>
              <w:pStyle w:val="TableContents"/>
              <w:bidi w:val="0"/>
              <w:spacing w:before="0" w:after="20"/>
              <w:jc w:val="center"/>
              <w:rPr>
                <w:rFonts w:ascii="Times New Roman" w:hAnsi="Times New Roman"/>
                <w:sz w:val="16"/>
              </w:rPr>
            </w:pPr>
            <w:r>
              <w:rPr>
                <w:rFonts w:ascii="Times New Roman" w:hAnsi="Times New Roman"/>
                <w:sz w:val="16"/>
              </w:rPr>
              <w:t>this</w:t>
              <w:b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Principal</w:t>
              <w:br/>
              <w:t>Amount of</w:t>
              <w:br/>
              <w:t>this Global</w:t>
              <w:br/>
              <w:t>Security</w:t>
              <w:br/>
              <w:t>following such</w:t>
              <w:br/>
              <w:t>decrease or</w:t>
              <w:br/>
              <w:t>increase</w:t>
            </w:r>
          </w:p>
        </w:tc>
        <w:tc>
          <w:tcPr>
            <w:tcW w:w="102"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 of</w:t>
              <w:br/>
              <w:t>authorized</w:t>
              <w:br/>
              <w:t>signatory of</w:t>
              <w:b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20" w:name="d44098dex51.htm"/>
      <w:bookmarkStart w:id="21" w:name="ksd44098dex51"/>
      <w:bookmarkEnd w:id="20"/>
      <w:bookmarkEnd w:id="21"/>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05000" cy="1066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905000" cy="10668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July 30, 2026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 am Senior Vice President, Senior Deputy General Counsel and Assistant Secretary of Comcast Corporation, a Pennsylvania corporation (the “Company”), and have acted for the Company in connection with the Company’s offer (the “Exchange Offer”) to exchange its 5.168% Notes due 2037 (the “New Notes”),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among the Company, the guarantors named therein (the “Guarantors”) and the Trustee and as further supplemented by the Second Supplemental Indenture dated as of July 29, 2022 (the “Second Supplemental Indenture” and, together with the Base Indenture and the First Supplemental Indenture, the “Indenture”) among the Company, the Guarantors and the Trustee, and guaranteed on an unsecured and unsubordinated basis by the Guarantors, for any and all of its outstanding 5.168% Notes due 2037 (the “Old Notes”) pursuant to the registration statement on Form S-4 (the “Registration Statement”) filed by the Company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I have examined originals or copies, certified or otherwise identified to my satisfaction, of such documents, corporate records, certificates of public officials and other instruments as I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I advise you that, in my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has been duly authorized,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Notes have been duly authorized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am a member of the Bar of the Commonwealth of Pennsylvania and the foregoing opinion is limited to the laws of the Commonwealth of Pennsylvania.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Elizabeth Wideman</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Elizabeth Wideman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One Comcast Center Philadelphia, PA 19103-2838 www.comcastcorporation.com </w:t>
      </w:r>
    </w:p>
    <w:p>
      <w:pPr>
        <w:pStyle w:val="TextBody"/>
        <w:bidi w:val="0"/>
        <w:spacing w:before="0" w:after="0"/>
        <w:jc w:val="right"/>
        <w:rPr>
          <w:rFonts w:ascii="Times New Roman" w:hAnsi="Times New Roman"/>
          <w:b/>
          <w:sz w:val="20"/>
        </w:rPr>
      </w:pPr>
      <w:bookmarkStart w:id="22" w:name="d44098dex52.htm"/>
      <w:bookmarkStart w:id="23" w:name="ksd44098dex52"/>
      <w:bookmarkEnd w:id="22"/>
      <w:bookmarkEnd w:id="23"/>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9"/>
        <w:gridCol w:w="210"/>
        <w:gridCol w:w="2419"/>
        <w:gridCol w:w="211"/>
        <w:gridCol w:w="5156"/>
      </w:tblGrid>
      <w:tr>
        <w:trPr/>
        <w:tc>
          <w:tcPr>
            <w:tcW w:w="220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2209" w:type="dxa"/>
            <w:tcBorders/>
          </w:tcPr>
          <w:p>
            <w:pPr>
              <w:pStyle w:val="TableContents"/>
              <w:bidi w:val="0"/>
              <w:spacing w:before="0" w:after="283"/>
              <w:jc w:val="left"/>
              <w:rPr/>
            </w:pPr>
            <w:r>
              <w:rPr/>
              <w:drawing>
                <wp:inline distT="0" distB="0" distL="0" distR="0">
                  <wp:extent cx="1000125"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1000125" cy="180975"/>
                          </a:xfrm>
                          <a:prstGeom prst="rect">
                            <a:avLst/>
                          </a:prstGeom>
                        </pic:spPr>
                      </pic:pic>
                    </a:graphicData>
                  </a:graphic>
                </wp:inline>
              </w:drawing>
            </w:r>
            <w:r>
              <w:rPr/>
              <w:t xml:space="preserve"> </w:t>
            </w:r>
          </w:p>
        </w:tc>
        <w:tc>
          <w:tcPr>
            <w:tcW w:w="210" w:type="dxa"/>
            <w:tcBorders/>
            <w:vAlign w:val="bottom"/>
          </w:tcPr>
          <w:p>
            <w:pPr>
              <w:pStyle w:val="TableContents"/>
              <w:bidi w:val="0"/>
              <w:spacing w:before="0" w:after="283"/>
              <w:jc w:val="left"/>
              <w:rPr/>
            </w:pPr>
            <w:r>
              <w:rPr/>
              <w:t>  </w:t>
            </w:r>
          </w:p>
        </w:tc>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+1 212 450 4000</w:t>
            </w:r>
          </w:p>
          <w:p>
            <w:pPr>
              <w:pStyle w:val="TableContents"/>
              <w:bidi w:val="0"/>
              <w:spacing w:before="0" w:after="20"/>
              <w:jc w:val="left"/>
              <w:rPr>
                <w:rFonts w:ascii="Times New Roman" w:hAnsi="Times New Roman"/>
                <w:sz w:val="20"/>
              </w:rPr>
            </w:pPr>
            <w:r>
              <w:rPr>
                <w:rFonts w:ascii="Times New Roman" w:hAnsi="Times New Roman"/>
                <w:sz w:val="20"/>
              </w:rPr>
              <w:t>davispolk.com</w:t>
            </w:r>
          </w:p>
        </w:tc>
        <w:tc>
          <w:tcPr>
            <w:tcW w:w="211" w:type="dxa"/>
            <w:tcBorders/>
            <w:vAlign w:val="bottom"/>
          </w:tcPr>
          <w:p>
            <w:pPr>
              <w:pStyle w:val="TableContents"/>
              <w:bidi w:val="0"/>
              <w:spacing w:before="0" w:after="283"/>
              <w:jc w:val="left"/>
              <w:rPr/>
            </w:pPr>
            <w:r>
              <w:rPr/>
              <w:t>  </w:t>
            </w:r>
          </w:p>
        </w:tc>
        <w:tc>
          <w:tcPr>
            <w:tcW w:w="5156"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450 Lexington Avenue Exhibit 5.2</w:t>
            </w:r>
          </w:p>
          <w:p>
            <w:pPr>
              <w:pStyle w:val="TableContents"/>
              <w:bidi w:val="0"/>
              <w:spacing w:before="0" w:after="20"/>
              <w:jc w:val="left"/>
              <w:rPr>
                <w:rFonts w:ascii="Times New Roman" w:hAnsi="Times New Roman"/>
                <w:sz w:val="20"/>
              </w:rPr>
            </w:pPr>
            <w:r>
              <w:rPr>
                <w:rFonts w:ascii="Times New Roman" w:hAnsi="Times New Roman"/>
                <w:sz w:val="20"/>
              </w:rPr>
              <w:t>New York, NY 10017</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30, 2026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counsel to Comcast Corporation, a Pennsylvania corporation (the “Company”), NBCUniversal Media, LLC, a Delaware limited liability company and Comcast Cable Communications, LLC, a Delaware limited liability company (the “Guarantors”) in connection with the Company’s offer (the “Exchange Offer”) to exchange its 5.168% Notes due 2037 (the “Notes”, and together with the related guarantees by the Guarantors, collectively, the “New Securities”),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among the Company, the guarantors named therein (the “Guarantors”) and the Trustee and as further supplemented by the Second Supplemental Indenture dated as of July 29, 2022 (the “Second Supplemental Indenture” and, together with the Base Indenture and the First Supplemental Indenture, the “Indenture”) among the Company, the Guarantors and the Trustee, for any and all of its outstanding 5.168% Notes due 2037 (the “Old Notes”, and together with the related guarantees by the Guarantors, collectively, the “Old Securities”) pursuant to the registration statement on Form S-4 (the “Registration Statement”) filed by the Company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are of the opinion that the New Securities, when the New Securities are executed, authenticated and delivered in exchange for the Old Securities in accordance with the terms of the Indenture and the Exchange Offer, will constitute valid and binding obligations of the Company and the Guarantors, as applicable, enforceable in accordance with their terms, subject to applicable bankruptcy, insolvency and similar laws affecting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63"/>
        <w:gridCol w:w="120"/>
        <w:gridCol w:w="3172"/>
        <w:gridCol w:w="120"/>
        <w:gridCol w:w="3130"/>
      </w:tblGrid>
      <w:tr>
        <w:trPr/>
        <w:tc>
          <w:tcPr>
            <w:tcW w:w="36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3663" w:type="dxa"/>
            <w:tcBorders/>
          </w:tcPr>
          <w:p>
            <w:pPr>
              <w:pStyle w:val="TableContents"/>
              <w:bidi w:val="0"/>
              <w:spacing w:before="0" w:after="283"/>
              <w:jc w:val="left"/>
              <w:rPr/>
            </w:pPr>
            <w:r>
              <w:rPr/>
              <w:t>Comcast Corporation</w:t>
            </w:r>
          </w:p>
        </w:tc>
        <w:tc>
          <w:tcPr>
            <w:tcW w:w="120"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3130" w:type="dxa"/>
            <w:tcBorders/>
          </w:tcPr>
          <w:p>
            <w:pPr>
              <w:pStyle w:val="TableContents"/>
              <w:bidi w:val="0"/>
              <w:spacing w:before="0" w:after="283"/>
              <w:jc w:val="right"/>
              <w:rPr/>
            </w:pPr>
            <w:r>
              <w:rPr/>
              <w:t>July 30,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any provision of the Indenture that purports to avoid the effect of fraudulent conveyance, fraudulent transfer or similar provision of applicable law by limiting the amount of any Guarantor’s obligation or (z) the validity, legally binding effect or enforceability of any provision that permits holders to collect any portion of stated principal amount upon acceleration of the New Securities to the extent determined to constitute unearned interest.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opinions expressed above, we have assumed that (i) the Registration Statement shall have been declared effective and such effectiveness shall not have been suspended; (ii) the Indenture and the New Securities are each valid, binding and enforceable agreements of each party thereto (other than as expressly covered above in respect of the Company and the Guarantors); and (iii) there shall not have occurred any change in law affecting the validity or enforceability of any of the New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 is limited to the laws of the State of New York and the General Corporation and Limited Liability Company Laws of the State of Delaware, except that we express no opinion as to (i)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or such party or such affiliate or (ii) any law, rule or regulation relating to national security. Insofar as the foregoing opinion involves matters governed by the laws of Pennsylvania, we have relied, without independent inquiry or investigation, on the opinion of the Senior Deputy General Counsel of Comcast Corporation, filed with the Registration Statement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 of 1933.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15"/>
        <w:gridCol w:w="469"/>
        <w:gridCol w:w="1798"/>
      </w:tblGrid>
      <w:tr>
        <w:trPr/>
        <w:tc>
          <w:tcPr>
            <w:tcW w:w="1815"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 Davis Polk &amp; Wardwell LLP</w:t>
            </w:r>
          </w:p>
        </w:tc>
      </w:tr>
    </w:tbl>
    <w:p>
      <w:pPr>
        <w:pStyle w:val="TextBody"/>
        <w:bidi w:val="0"/>
        <w:spacing w:before="0" w:after="0"/>
        <w:jc w:val="right"/>
        <w:rPr>
          <w:rFonts w:ascii="Times New Roman" w:hAnsi="Times New Roman"/>
          <w:b/>
          <w:sz w:val="20"/>
        </w:rPr>
      </w:pPr>
      <w:bookmarkStart w:id="24" w:name="d44098dex231.htm"/>
      <w:bookmarkStart w:id="25" w:name="ksd44098dex231"/>
      <w:bookmarkEnd w:id="24"/>
      <w:bookmarkEnd w:id="25"/>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S-4 of our report dated February 3, 2026, relating to the financial statements of Comcast Corporation and the effectiveness of Comcast Corporation’s internal control over financial reporting, appearing in the Annual Report on Form 10-K of Comcast Corporation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DELOITTE &amp; TOUCHE LLP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July 30, 2026 </w:t>
      </w:r>
    </w:p>
    <w:p>
      <w:pPr>
        <w:pStyle w:val="TextBody"/>
        <w:bidi w:val="0"/>
        <w:spacing w:before="0" w:after="0"/>
        <w:jc w:val="right"/>
        <w:rPr>
          <w:rFonts w:ascii="Times New Roman" w:hAnsi="Times New Roman"/>
          <w:b/>
          <w:sz w:val="20"/>
        </w:rPr>
      </w:pPr>
      <w:bookmarkStart w:id="26" w:name="d44098dex251.htm"/>
      <w:bookmarkStart w:id="27" w:name="ksd44098dex251"/>
      <w:bookmarkEnd w:id="26"/>
      <w:bookmarkEnd w:id="27"/>
      <w:r>
        <w:rPr>
          <w:rFonts w:ascii="Times New Roman" w:hAnsi="Times New Roman"/>
          <w:b/>
          <w:sz w:val="20"/>
        </w:rPr>
        <w:t xml:space="preserve">Exhibit 25.1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BANK OF NEW YORK MELLON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13-5160382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(Jurisdiction of incorporation</w:t>
            </w:r>
          </w:p>
          <w:p>
            <w:pPr>
              <w:pStyle w:val="TableContents"/>
              <w:bidi w:val="0"/>
              <w:spacing w:before="0" w:after="20"/>
              <w:jc w:val="center"/>
              <w:rPr>
                <w:rFonts w:ascii="Times New Roman" w:hAnsi="Times New Roman"/>
                <w:b/>
                <w:sz w:val="16"/>
              </w:rPr>
            </w:pPr>
            <w:r>
              <w:rPr>
                <w:rFonts w:ascii="Times New Roman" w:hAnsi="Times New Roman"/>
                <w:b/>
                <w:sz w:val="16"/>
              </w:rPr>
              <w:t>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240 Greenwich Street, New York, N.Y.</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10286</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Pennsylvania</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27-0000798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Pennsylvania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19103-2838</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NBCUniversal Media, LLC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14-1682529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30 Rockefeller Plaza</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10112-0015</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Comcast Cable Communications, LLC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23-2175755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Pennsylvania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19103-2838</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5.168% Notes due 2037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Guarantees of 5.168% Notes due 2037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information.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address of each examining or supervising authority to which it is subject.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7"/>
        <w:gridCol w:w="121"/>
        <w:gridCol w:w="4877"/>
      </w:tblGrid>
      <w:tr>
        <w:trPr/>
        <w:tc>
          <w:tcPr>
            <w:tcW w:w="52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r>
      <w:tr>
        <w:trPr/>
        <w:tc>
          <w:tcPr>
            <w:tcW w:w="52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Name</w:t>
            </w:r>
          </w:p>
        </w:tc>
        <w:tc>
          <w:tcPr>
            <w:tcW w:w="121" w:type="dxa"/>
            <w:tcBorders/>
            <w:vAlign w:val="bottom"/>
          </w:tcPr>
          <w:p>
            <w:pPr>
              <w:pStyle w:val="TableContents"/>
              <w:bidi w:val="0"/>
              <w:spacing w:before="0" w:after="283"/>
              <w:jc w:val="left"/>
              <w:rPr/>
            </w:pPr>
            <w:r>
              <w:rPr/>
              <w:t>  </w:t>
            </w:r>
          </w:p>
        </w:tc>
        <w:tc>
          <w:tcPr>
            <w:tcW w:w="48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Address</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Superintendent of the Department of Financial Services of the State of New York</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283"/>
              <w:jc w:val="left"/>
              <w:rPr/>
            </w:pPr>
            <w:r>
              <w:rPr/>
              <w:t>One State Street, New York, N.Y. 10004-1417, and Albany, N.Y. 12223</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Bank of New York</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283"/>
              <w:jc w:val="left"/>
              <w:rPr/>
            </w:pPr>
            <w:r>
              <w:rPr/>
              <w:t>33 Liberty Street, New York, N.Y. 10045</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Federal Deposit Insurance Corporation</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550 17th Street, NW</w:t>
            </w:r>
          </w:p>
          <w:p>
            <w:pPr>
              <w:pStyle w:val="TableContents"/>
              <w:bidi w:val="0"/>
              <w:spacing w:before="0" w:after="20"/>
              <w:jc w:val="left"/>
              <w:rPr>
                <w:rFonts w:ascii="Times New Roman" w:hAnsi="Times New Roman"/>
                <w:sz w:val="20"/>
              </w:rPr>
            </w:pPr>
            <w:r>
              <w:rPr>
                <w:rFonts w:ascii="Times New Roman" w:hAnsi="Times New Roman"/>
                <w:sz w:val="20"/>
              </w:rPr>
              <w:t>Washington, D.C. 20429</w:t>
            </w:r>
          </w:p>
        </w:tc>
      </w:tr>
      <w:tr>
        <w:trPr>
          <w:trHeight w:val="120" w:hRule="atLeast"/>
        </w:trPr>
        <w:tc>
          <w:tcPr>
            <w:tcW w:w="5207" w:type="dxa"/>
            <w:tcBorders/>
            <w:vAlign w:val="center"/>
          </w:tcPr>
          <w:p>
            <w:pPr>
              <w:pStyle w:val="TableContents"/>
              <w:bidi w:val="0"/>
              <w:spacing w:before="0" w:after="283"/>
              <w:jc w:val="left"/>
              <w:rPr>
                <w:sz w:val="4"/>
                <w:szCs w:val="4"/>
              </w:rPr>
            </w:pPr>
            <w:r>
              <w:rPr>
                <w:sz w:val="4"/>
                <w:szCs w:val="4"/>
              </w:rPr>
            </w:r>
          </w:p>
        </w:tc>
        <w:tc>
          <w:tcPr>
            <w:tcW w:w="4998" w:type="dxa"/>
            <w:gridSpan w:val="2"/>
            <w:tcBorders/>
            <w:vAlign w:val="center"/>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The Clearing House Association L.L.C.</w:t>
            </w:r>
          </w:p>
        </w:tc>
        <w:tc>
          <w:tcPr>
            <w:tcW w:w="121"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100 Broad Street</w:t>
            </w:r>
          </w:p>
          <w:p>
            <w:pPr>
              <w:pStyle w:val="TableContents"/>
              <w:bidi w:val="0"/>
              <w:spacing w:before="0" w:after="20"/>
              <w:jc w:val="left"/>
              <w:rPr>
                <w:rFonts w:ascii="Times New Roman" w:hAnsi="Times New Roman"/>
                <w:sz w:val="20"/>
              </w:rPr>
            </w:pPr>
            <w:r>
              <w:rPr>
                <w:rFonts w:ascii="Times New Roman" w:hAnsi="Times New Roman"/>
                <w:sz w:val="20"/>
              </w:rPr>
              <w:t>New York, N.Y. 10004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Whether it is authorized to exercise corporate trust 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Affiliations with Obligor.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the obligor is an affiliate of the trustee, describe each such affiliation.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List of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(Exhibit 4 to Form T-1 filed with Registration Statement No. 333-261533).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Act (Exhibit 6 to Form T-1 filed with Registration Statement No. 333-229519).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latest report of condition of the Trustee published pursuant to law or to the requirements of its supervising or examining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Houston, and State of Texas, on the 17th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33"/>
        <w:gridCol w:w="178"/>
        <w:gridCol w:w="2971"/>
      </w:tblGrid>
      <w:tr>
        <w:trPr/>
        <w:tc>
          <w:tcPr>
            <w:tcW w:w="93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w:t>
            </w:r>
          </w:p>
        </w:tc>
      </w:tr>
      <w:tr>
        <w:trPr>
          <w:trHeight w:val="240" w:hRule="atLeast"/>
        </w:trPr>
        <w:tc>
          <w:tcPr>
            <w:tcW w:w="933" w:type="dxa"/>
            <w:tcBorders/>
            <w:vAlign w:val="center"/>
          </w:tcPr>
          <w:p>
            <w:pPr>
              <w:pStyle w:val="TableContents"/>
              <w:bidi w:val="0"/>
              <w:spacing w:before="0" w:after="283"/>
              <w:jc w:val="left"/>
              <w:rPr>
                <w:sz w:val="4"/>
                <w:szCs w:val="4"/>
              </w:rPr>
            </w:pPr>
            <w:r>
              <w:rPr>
                <w:sz w:val="4"/>
                <w:szCs w:val="4"/>
              </w:rPr>
            </w:r>
          </w:p>
        </w:tc>
        <w:tc>
          <w:tcPr>
            <w:tcW w:w="3149" w:type="dxa"/>
            <w:gridSpan w:val="2"/>
            <w:tcBorders/>
            <w:vAlign w:val="center"/>
          </w:tcPr>
          <w:p>
            <w:pPr>
              <w:pStyle w:val="TableContents"/>
              <w:bidi w:val="0"/>
              <w:spacing w:before="0" w:after="283"/>
              <w:jc w:val="left"/>
              <w:rPr>
                <w:sz w:val="4"/>
                <w:szCs w:val="4"/>
              </w:rPr>
            </w:pPr>
            <w:r>
              <w:rPr>
                <w:sz w:val="4"/>
                <w:szCs w:val="4"/>
              </w:rPr>
            </w:r>
          </w:p>
        </w:tc>
      </w:tr>
      <w:tr>
        <w:trPr/>
        <w:tc>
          <w:tcPr>
            <w:tcW w:w="933" w:type="dxa"/>
            <w:tcBorders/>
          </w:tcPr>
          <w:p>
            <w:pPr>
              <w:pStyle w:val="TableContents"/>
              <w:bidi w:val="0"/>
              <w:spacing w:before="0" w:after="283"/>
              <w:jc w:val="left"/>
              <w:rPr/>
            </w:pPr>
            <w:r>
              <w:rPr/>
              <w:t>By:</w:t>
            </w:r>
          </w:p>
        </w:tc>
        <w:tc>
          <w:tcPr>
            <w:tcW w:w="178" w:type="dxa"/>
            <w:tcBorders/>
            <w:vAlign w:val="bottom"/>
          </w:tcPr>
          <w:p>
            <w:pPr>
              <w:pStyle w:val="TableContents"/>
              <w:bidi w:val="0"/>
              <w:spacing w:before="0" w:after="283"/>
              <w:jc w:val="left"/>
              <w:rPr/>
            </w:pPr>
            <w:r>
              <w:rPr/>
              <w:t> </w:t>
            </w:r>
          </w:p>
        </w:tc>
        <w:tc>
          <w:tcPr>
            <w:tcW w:w="297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Peggy Guel</w:t>
            </w:r>
          </w:p>
        </w:tc>
      </w:tr>
      <w:tr>
        <w:trPr/>
        <w:tc>
          <w:tcPr>
            <w:tcW w:w="93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971" w:type="dxa"/>
            <w:tcBorders/>
          </w:tcPr>
          <w:p>
            <w:pPr>
              <w:pStyle w:val="TableContents"/>
              <w:bidi w:val="0"/>
              <w:spacing w:before="0" w:after="283"/>
              <w:jc w:val="left"/>
              <w:rPr/>
            </w:pPr>
            <w:r>
              <w:rPr/>
              <w:t>Name: Peggy Guel</w:t>
            </w:r>
          </w:p>
        </w:tc>
      </w:tr>
      <w:tr>
        <w:trPr/>
        <w:tc>
          <w:tcPr>
            <w:tcW w:w="933"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971" w:type="dxa"/>
            <w:tcBorders/>
          </w:tcPr>
          <w:p>
            <w:pPr>
              <w:pStyle w:val="TableContents"/>
              <w:bidi w:val="0"/>
              <w:spacing w:before="0" w:after="283"/>
              <w:jc w:val="left"/>
              <w:rPr/>
            </w:pPr>
            <w:r>
              <w:rPr/>
              <w:t>Title: As Agent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sz w:val="20"/>
        </w:rPr>
      </w:pPr>
      <w:r>
        <w:rPr>
          <w:rFonts w:ascii="Times New Roman" w:hAnsi="Times New Roman"/>
          <w:sz w:val="20"/>
        </w:rPr>
        <w:t xml:space="preserve">Consolidated Report of Condition of </w:t>
      </w:r>
    </w:p>
    <w:p>
      <w:pPr>
        <w:pStyle w:val="TextBody"/>
        <w:bidi w:val="0"/>
        <w:spacing w:before="120" w:after="0"/>
        <w:jc w:val="center"/>
        <w:rPr>
          <w:rFonts w:ascii="Times New Roman" w:hAnsi="Times New Roman"/>
          <w:sz w:val="20"/>
        </w:rPr>
      </w:pPr>
      <w:r>
        <w:rPr>
          <w:rFonts w:ascii="Times New Roman" w:hAnsi="Times New Roman"/>
          <w:sz w:val="20"/>
        </w:rPr>
        <w:t xml:space="preserve">THE BANK OF NEW YORK MELLON </w:t>
      </w:r>
    </w:p>
    <w:p>
      <w:pPr>
        <w:pStyle w:val="TextBody"/>
        <w:bidi w:val="0"/>
        <w:spacing w:before="120" w:after="0"/>
        <w:jc w:val="center"/>
        <w:rPr>
          <w:rFonts w:ascii="Times New Roman" w:hAnsi="Times New Roman"/>
          <w:sz w:val="20"/>
        </w:rPr>
      </w:pPr>
      <w:r>
        <w:rPr>
          <w:rFonts w:ascii="Times New Roman" w:hAnsi="Times New Roman"/>
          <w:sz w:val="20"/>
        </w:rPr>
        <w:t xml:space="preserve">of 240 Greenwich Street, New York, N.Y. 10286 </w:t>
      </w:r>
    </w:p>
    <w:p>
      <w:pPr>
        <w:pStyle w:val="TextBody"/>
        <w:bidi w:val="0"/>
        <w:spacing w:before="0" w:after="0"/>
        <w:jc w:val="center"/>
        <w:rPr>
          <w:rFonts w:ascii="Times New Roman" w:hAnsi="Times New Roman"/>
          <w:sz w:val="20"/>
        </w:rPr>
      </w:pPr>
      <w:r>
        <w:rPr>
          <w:rFonts w:ascii="Times New Roman" w:hAnsi="Times New Roman"/>
          <w:sz w:val="20"/>
        </w:rPr>
        <w:t xml:space="preserve">And Foreign and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 member of the Federal Reserve System, at the close of business March 31, 2026, published in accordance with a call made by the Federal Reserve Bank of this District pursuant to the provisions of the Federal Reserve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2"/>
        <w:gridCol w:w="140"/>
        <w:gridCol w:w="60"/>
        <w:gridCol w:w="1231"/>
        <w:gridCol w:w="62"/>
      </w:tblGrid>
      <w:tr>
        <w:trPr/>
        <w:tc>
          <w:tcPr>
            <w:tcW w:w="87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Dollar amounts</w:t>
            </w:r>
          </w:p>
          <w:p>
            <w:pPr>
              <w:pStyle w:val="TableContents"/>
              <w:bidi w:val="0"/>
              <w:spacing w:before="0" w:after="20"/>
              <w:jc w:val="center"/>
              <w:rPr>
                <w:rFonts w:ascii="Times New Roman" w:hAnsi="Times New Roman"/>
                <w:sz w:val="16"/>
              </w:rPr>
            </w:pPr>
            <w:r>
              <w:rPr>
                <w:rFonts w:ascii="Times New Roman" w:hAnsi="Times New Roman"/>
                <w:sz w:val="16"/>
              </w:rPr>
              <w:t>in thousands</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 balances and currency and coin</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5,151,000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balances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179,331,000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Held-to-maturity securities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48,830,000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Available-for-sale debt securities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106,552,000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with readily determinable fair values not held for trading</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sold and securities purchased under agreements to resell: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sold in domestic offices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purchased under agreements to resell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24,813,000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 financing receivables: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leases held for sale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60,448,000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Allowance for credit losses on loans and leases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211,000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Loans and leases held for investment, net of allowance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60,237,000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Trading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8,224,000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Premises and fixed assets (including right-of-use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3,478,000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owned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subsidiaries and associated companies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2,481,000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and indirect investments in real estate ventures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7,343,000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20,909,000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467,349,000</w:t>
            </w:r>
          </w:p>
        </w:tc>
        <w:tc>
          <w:tcPr>
            <w:tcW w:w="62" w:type="dxa"/>
            <w:tcBorders/>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712"/>
        <w:gridCol w:w="140"/>
        <w:gridCol w:w="60"/>
        <w:gridCol w:w="1231"/>
        <w:gridCol w:w="62"/>
      </w:tblGrid>
      <w:tr>
        <w:trPr/>
        <w:tc>
          <w:tcPr>
            <w:tcW w:w="87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domestic offices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302,628,000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124,486,000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178,142,000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 foreign offices, Edge and Agreement subsidiaries, and IBFs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117,096,000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10,404,000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106,692,000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funds purchased and securities sold under agreements to repurchase: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 purchased in domestic offices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sold under agreements to repurchase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2,787,000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2,480,000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(includes mortgage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3,682,000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Not applicable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9,576,000</w:t>
            </w:r>
          </w:p>
        </w:tc>
        <w:tc>
          <w:tcPr>
            <w:tcW w:w="62" w:type="dxa"/>
            <w:tcBorders/>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438,249,000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CAPITAL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Perpetual preferred stock and related surplus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1,135,000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Surplus (exclude all surplus related to preferred stock)</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13,112,000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16,871,000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-2,018,000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Other equity capital components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bank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29,100,000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(minority) interests in consolidated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 capital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29,100,000</w:t>
            </w:r>
          </w:p>
        </w:tc>
        <w:tc>
          <w:tcPr>
            <w:tcW w:w="62" w:type="dxa"/>
            <w:tcBorders/>
            <w:shd w:fill="CCEEFF" w:val="clear"/>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1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 capital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467,349,000</w:t>
            </w:r>
          </w:p>
        </w:tc>
        <w:tc>
          <w:tcPr>
            <w:tcW w:w="62" w:type="dxa"/>
            <w:tcBorders/>
            <w:vAlign w:val="bottom"/>
          </w:tcPr>
          <w:p>
            <w:pPr>
              <w:pStyle w:val="TableContents"/>
              <w:bidi w:val="0"/>
              <w:spacing w:before="0" w:after="283"/>
              <w:jc w:val="left"/>
              <w:rPr/>
            </w:pPr>
            <w:r>
              <w:rPr/>
              <w:t> </w:t>
            </w:r>
          </w:p>
        </w:tc>
      </w:tr>
      <w:tr>
        <w:trPr/>
        <w:tc>
          <w:tcPr>
            <w:tcW w:w="87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Dermot McDonogh, Chief Financial Officer of the above-named bank do hereby declare that this Report of Condition is true and correct to the best of my knowledge and belief. </w:t>
      </w:r>
    </w:p>
    <w:p>
      <w:pPr>
        <w:pStyle w:val="TextBody"/>
        <w:bidi w:val="0"/>
        <w:spacing w:before="240" w:after="0"/>
        <w:jc w:val="right"/>
        <w:rPr>
          <w:rFonts w:ascii="Times New Roman" w:hAnsi="Times New Roman"/>
          <w:sz w:val="20"/>
        </w:rPr>
      </w:pPr>
      <w:r>
        <w:rPr>
          <w:rFonts w:ascii="Times New Roman" w:hAnsi="Times New Roman"/>
          <w:sz w:val="20"/>
        </w:rPr>
        <w:t xml:space="preserve">Dermot McDonogh     </w:t>
      </w:r>
    </w:p>
    <w:p>
      <w:pPr>
        <w:pStyle w:val="TextBody"/>
        <w:bidi w:val="0"/>
        <w:spacing w:before="0" w:after="0"/>
        <w:jc w:val="right"/>
        <w:rPr>
          <w:rFonts w:ascii="Times New Roman" w:hAnsi="Times New Roman"/>
          <w:sz w:val="20"/>
        </w:rPr>
      </w:pPr>
      <w:r>
        <w:rPr>
          <w:rFonts w:ascii="Times New Roman" w:hAnsi="Times New Roman"/>
          <w:sz w:val="20"/>
        </w:rPr>
        <w:t xml:space="preserve">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attest to the correctness of this statement of resources and liabilities. We declare that it has been examined by us, and to the best of our knowledge and belief has been prepared in conformance with the instructions and is true and correct.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9"/>
        <w:gridCol w:w="111"/>
        <w:gridCol w:w="260"/>
        <w:gridCol w:w="127"/>
        <w:gridCol w:w="7358"/>
      </w:tblGrid>
      <w:tr>
        <w:trPr/>
        <w:tc>
          <w:tcPr>
            <w:tcW w:w="234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58" w:type="dxa"/>
            <w:tcBorders/>
            <w:vAlign w:val="center"/>
          </w:tcPr>
          <w:p>
            <w:pPr>
              <w:pStyle w:val="TableContents"/>
              <w:bidi w:val="0"/>
              <w:spacing w:before="0" w:after="283"/>
              <w:jc w:val="left"/>
              <w:rPr>
                <w:sz w:val="4"/>
                <w:szCs w:val="4"/>
              </w:rPr>
            </w:pPr>
            <w:r>
              <w:rPr>
                <w:sz w:val="4"/>
                <w:szCs w:val="4"/>
              </w:rPr>
            </w:r>
          </w:p>
        </w:tc>
      </w:tr>
      <w:tr>
        <w:trPr/>
        <w:tc>
          <w:tcPr>
            <w:tcW w:w="2349" w:type="dxa"/>
            <w:tcBorders/>
          </w:tcPr>
          <w:p>
            <w:pPr>
              <w:pStyle w:val="TableContents"/>
              <w:bidi w:val="0"/>
              <w:spacing w:before="0" w:after="0"/>
              <w:jc w:val="left"/>
              <w:rPr>
                <w:rFonts w:ascii="Times New Roman" w:hAnsi="Times New Roman"/>
                <w:sz w:val="20"/>
              </w:rPr>
            </w:pPr>
            <w:r>
              <w:rPr>
                <w:rFonts w:ascii="Times New Roman" w:hAnsi="Times New Roman"/>
                <w:sz w:val="20"/>
              </w:rPr>
              <w:t>Robin A. Vince</w:t>
            </w:r>
          </w:p>
          <w:p>
            <w:pPr>
              <w:pStyle w:val="TableContents"/>
              <w:bidi w:val="0"/>
              <w:spacing w:before="0" w:after="0"/>
              <w:jc w:val="left"/>
              <w:rPr>
                <w:rFonts w:ascii="Times New Roman" w:hAnsi="Times New Roman"/>
                <w:sz w:val="20"/>
              </w:rPr>
            </w:pPr>
            <w:r>
              <w:rPr>
                <w:rFonts w:ascii="Times New Roman" w:hAnsi="Times New Roman"/>
                <w:sz w:val="20"/>
              </w:rPr>
              <w:t>Jeffrey A. Goldstein</w:t>
            </w:r>
          </w:p>
          <w:p>
            <w:pPr>
              <w:pStyle w:val="TableContents"/>
              <w:bidi w:val="0"/>
              <w:spacing w:before="0" w:after="0"/>
              <w:jc w:val="left"/>
              <w:rPr>
                <w:rFonts w:ascii="Times New Roman" w:hAnsi="Times New Roman"/>
                <w:sz w:val="20"/>
              </w:rPr>
            </w:pPr>
            <w:r>
              <w:rPr>
                <w:rFonts w:ascii="Times New Roman" w:hAnsi="Times New Roman"/>
                <w:sz w:val="20"/>
              </w:rPr>
              <w:t>Joseph J. Echevarria</w:t>
            </w:r>
          </w:p>
          <w:p>
            <w:pPr>
              <w:pStyle w:val="TableContents"/>
              <w:bidi w:val="0"/>
              <w:spacing w:before="0" w:after="20"/>
              <w:jc w:val="left"/>
              <w:rPr/>
            </w:pPr>
            <w:r>
              <w:rPr/>
              <w:t> </w:t>
            </w:r>
          </w:p>
        </w:tc>
        <w:tc>
          <w:tcPr>
            <w:tcW w:w="11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358" w:type="dxa"/>
            <w:tcBorders/>
            <w:vAlign w:val="center"/>
          </w:tcPr>
          <w:p>
            <w:pPr>
              <w:pStyle w:val="TableContents"/>
              <w:bidi w:val="0"/>
              <w:spacing w:before="0" w:after="283"/>
              <w:jc w:val="left"/>
              <w:rPr/>
            </w:pPr>
            <w:r>
              <w:rPr/>
              <w:t>Directors</w:t>
            </w:r>
          </w:p>
        </w:tc>
      </w:tr>
    </w:tbl>
    <w:p>
      <w:pPr>
        <w:pStyle w:val="Normal"/>
        <w:bidi w:val="0"/>
        <w:spacing w:before="0" w:after="0"/>
        <w:jc w:val="left"/>
        <w:rPr>
          <w:sz w:val="4"/>
          <w:szCs w:val="4"/>
        </w:rPr>
      </w:pPr>
      <w:r>
        <w:rPr>
          <w:sz w:val="4"/>
          <w:szCs w:val="4"/>
        </w:rPr>
      </w:r>
      <w:bookmarkStart w:id="28" w:name="d44098dexfilingfees.htm"/>
      <w:bookmarkStart w:id="29" w:name="ksd44098dexfilingfees"/>
      <w:bookmarkStart w:id="30" w:name="d44098dexfilingfees.htm"/>
      <w:bookmarkStart w:id="31" w:name="ksd44098dexfilingfees"/>
      <w:bookmarkEnd w:id="30"/>
      <w:bookmarkEnd w:id="31"/>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COMCAST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29" w:type="dxa"/>
        <w:jc w:val="left"/>
        <w:tblInd w:w="0" w:type="dxa"/>
        <w:tblLayout w:type="fixed"/>
        <w:tblCellMar>
          <w:top w:w="28" w:type="dxa"/>
          <w:left w:w="28" w:type="dxa"/>
          <w:bottom w:w="28" w:type="dxa"/>
          <w:right w:w="28" w:type="dxa"/>
        </w:tblCellMar>
      </w:tblPr>
      <w:tblGrid>
        <w:gridCol w:w="1126"/>
        <w:gridCol w:w="226"/>
        <w:gridCol w:w="946"/>
        <w:gridCol w:w="1171"/>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5.168% Notes due 2037 </w:t>
            </w:r>
          </w:p>
        </w:tc>
        <w:tc>
          <w:tcPr>
            <w:tcW w:w="1276" w:type="dxa"/>
            <w:tcBorders/>
            <w:shd w:fill="E7E7E2" w:val="clear"/>
            <w:vAlign w:val="center"/>
          </w:tcPr>
          <w:p>
            <w:pPr>
              <w:pStyle w:val="TableContents"/>
              <w:bidi w:val="0"/>
              <w:spacing w:before="0" w:after="283"/>
              <w:jc w:val="center"/>
              <w:rPr/>
            </w:pPr>
            <w:r>
              <w:rPr/>
              <w:t xml:space="preserve">457(a) </w:t>
            </w:r>
          </w:p>
        </w:tc>
        <w:tc>
          <w:tcPr>
            <w:tcW w:w="1486" w:type="dxa"/>
            <w:tcBorders/>
            <w:shd w:fill="E7E7E2" w:val="clear"/>
            <w:vAlign w:val="center"/>
          </w:tcPr>
          <w:p>
            <w:pPr>
              <w:pStyle w:val="TableContents"/>
              <w:bidi w:val="0"/>
              <w:spacing w:before="0" w:after="283"/>
              <w:jc w:val="right"/>
              <w:rPr/>
            </w:pPr>
            <w:r>
              <w:rPr/>
              <w:t xml:space="preserve">1,172,013,000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$ 1,172,013,000.00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$ 161,855.00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5.168% Notes due 2037 </w:t>
            </w:r>
          </w:p>
        </w:tc>
        <w:tc>
          <w:tcPr>
            <w:tcW w:w="1276" w:type="dxa"/>
            <w:tcBorders/>
            <w:shd w:fill="E7E7E2" w:val="clear"/>
            <w:vAlign w:val="center"/>
          </w:tcPr>
          <w:p>
            <w:pPr>
              <w:pStyle w:val="TableContents"/>
              <w:bidi w:val="0"/>
              <w:spacing w:before="0" w:after="283"/>
              <w:jc w:val="center"/>
              <w:rPr/>
            </w:pPr>
            <w:r>
              <w:rPr/>
              <w:t xml:space="preserve">Other </w:t>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2" w:name="MaxAggtOfferingPrice"/>
            <w:bookmarkEnd w:id="32"/>
            <w:r>
              <w:rPr/>
              <w:t xml:space="preserve">$ 1,172,013,000.00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$ 161,855.00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NetFeeAmt"/>
            <w:bookmarkEnd w:id="36"/>
            <w:r>
              <w:rPr/>
              <w:t xml:space="preserve">$ 161,855.00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528"/>
        <w:gridCol w:w="1166"/>
        <w:gridCol w:w="2006"/>
        <w:gridCol w:w="1584"/>
        <w:gridCol w:w="1580"/>
        <w:gridCol w:w="1987"/>
        <w:gridCol w:w="158"/>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(1) Represents the aggregate principal amount of the notes to be offered in the exchange offer to which the registration statement relates. (2) Calculated in accordance with Rule 457(f) of the Securities Act of 1933, as amended.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528"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166"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2006"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584"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580"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987"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58"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pPr>
            <w:r>
              <w:rPr/>
              <w:t xml:space="preserve">1,172,013,000 </w:t>
            </w:r>
          </w:p>
        </w:tc>
        <w:tc>
          <w:tcPr>
            <w:tcW w:w="1166" w:type="dxa"/>
            <w:tcBorders/>
            <w:vAlign w:val="center"/>
          </w:tcPr>
          <w:p>
            <w:pPr>
              <w:pStyle w:val="TableContents"/>
              <w:bidi w:val="0"/>
              <w:spacing w:before="0" w:after="283"/>
              <w:jc w:val="left"/>
              <w:rPr/>
            </w:pPr>
            <w:r>
              <w:rPr/>
              <w:t xml:space="preserve">$ 1.00 </w:t>
            </w:r>
          </w:p>
        </w:tc>
        <w:tc>
          <w:tcPr>
            <w:tcW w:w="2006" w:type="dxa"/>
            <w:tcBorders/>
            <w:vAlign w:val="center"/>
          </w:tcPr>
          <w:p>
            <w:pPr>
              <w:pStyle w:val="TableContents"/>
              <w:bidi w:val="0"/>
              <w:spacing w:before="0" w:after="283"/>
              <w:jc w:val="left"/>
              <w:rPr/>
            </w:pPr>
            <w:r>
              <w:rPr/>
              <w:t xml:space="preserve">$ 1,172,013,000.00 </w:t>
            </w:r>
          </w:p>
        </w:tc>
        <w:tc>
          <w:tcPr>
            <w:tcW w:w="158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pPr>
            <w:r>
              <w:rPr/>
              <w:t xml:space="preserve">$ 1,172,013,000.00 </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7"/>
            <w:tcBorders/>
            <w:vAlign w:val="center"/>
          </w:tcPr>
          <w:p>
            <w:pPr>
              <w:pStyle w:val="HorizontalLine"/>
              <w:pBdr>
                <w:bottom w:val="double" w:sz="2" w:space="0" w:color="808080"/>
              </w:pBdr>
              <w:bidi w:val="0"/>
              <w:spacing w:before="0" w:after="283"/>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9" w:type="dxa"/>
            <w:gridSpan w:val="7"/>
            <w:tcBorders/>
            <w:vAlign w:val="center"/>
          </w:tcPr>
          <w:p>
            <w:pPr>
              <w:pStyle w:val="TableContents"/>
              <w:bidi w:val="0"/>
              <w:spacing w:before="0" w:after="283"/>
              <w:jc w:val="left"/>
              <w:rPr/>
            </w:pPr>
            <w:r>
              <w:rPr/>
              <w:t xml:space="preserve">(3) No separate consideration will be received for the guarantees. Each of NBCUniversal Media, LLC and Comcast Cable Communications, LLC will guarantee the notes being registered. (4) Pursuant to Rule 457(n) under the Securities Act of 1933, as amended, no additional registration fee is due for the guarantees. </w:t>
            </w:r>
          </w:p>
        </w:tc>
      </w:tr>
      <w:tr>
        <w:trPr/>
        <w:tc>
          <w:tcPr>
            <w:tcW w:w="10047" w:type="dxa"/>
            <w:gridSpan w:val="7"/>
            <w:tcBorders/>
            <w:vAlign w:val="center"/>
          </w:tcPr>
          <w:p>
            <w:pPr>
              <w:pStyle w:val="HorizontalLine"/>
              <w:pBdr>
                <w:bottom w:val="double" w:sz="2" w:space="0" w:color="808080"/>
              </w:pBdr>
              <w:bidi w:val="0"/>
              <w:spacing w:before="0" w:after="283"/>
              <w:jc w:val="left"/>
              <w:rPr/>
            </w:pPr>
            <w:r>
              <w:rPr/>
            </w:r>
          </w:p>
        </w:tc>
        <w:tc>
          <w:tcPr>
            <w:tcW w:w="15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66691/000162828026004994/cmcsa-20251231.htm" TargetMode="External"/><Relationship Id="rId4" Type="http://schemas.openxmlformats.org/officeDocument/2006/relationships/hyperlink" Target="http://www.sec.gov/Archives/edgar/data/../../../ix?doc=/Archives/edgar/data/1166691/000162828026026805/cmcsa-20260331.htm" TargetMode="External"/><Relationship Id="rId5" Type="http://schemas.openxmlformats.org/officeDocument/2006/relationships/hyperlink" Target="http://www.sec.gov/Archives/edgar/data/../../../ix?doc=/Archives/edgar/data/1166691/000162828026049360/cmcsa-20260630.htm" TargetMode="External"/><Relationship Id="rId6" Type="http://schemas.openxmlformats.org/officeDocument/2006/relationships/hyperlink" Target="http://www.sec.gov/Archives/edgar/data/../../../ix?doc=/Archives/edgar/data/1166691/000095010326000079/dp239108_8k.htm" TargetMode="External"/><Relationship Id="rId7" Type="http://schemas.openxmlformats.org/officeDocument/2006/relationships/hyperlink" Target="http://www.sec.gov/Archives/edgar/data/../../../ix?doc=/Archives/edgar/data/1166691/000162828026012809/cmcsa-20260225.htm" TargetMode="External"/><Relationship Id="rId8" Type="http://schemas.openxmlformats.org/officeDocument/2006/relationships/hyperlink" Target="http://www.sec.gov/Archives/edgar/data/../../../ix?doc=/Archives/edgar/data/1166691/000095010326007759/dp247217_8k.htm" TargetMode="External"/><Relationship Id="rId9" Type="http://schemas.openxmlformats.org/officeDocument/2006/relationships/hyperlink" Target="http://www.sec.gov/Archives/edgar/data/../../../ix?doc=/Archives/edgar/data/1166691/000095010326008329/dp247761_8k.htm" TargetMode="External"/><Relationship Id="rId10" Type="http://schemas.openxmlformats.org/officeDocument/2006/relationships/hyperlink" Target="http://www.sec.gov/Archives/edgar/data/../../../ix?doc=/Archives/edgar/data/1166691/000095010326008429/dp247907_8k.htm" TargetMode="External"/><Relationship Id="rId11" Type="http://schemas.openxmlformats.org/officeDocument/2006/relationships/hyperlink" Target="http://www.sec.gov/Archives/edgar/data/../../../ix?doc=/Archives/edgar/data/1166691/000162828026042848/cmcsa-20260610.htm" TargetMode="External"/><Relationship Id="rId12" Type="http://schemas.openxmlformats.org/officeDocument/2006/relationships/hyperlink" Target="http://www.sec.gov/Archives/edgar/data/../../../ix?doc=/Archives/edgar/data/1166691/000095010326009591/dp249094_8k.htm" TargetMode="External"/><Relationship Id="rId13" Type="http://schemas.openxmlformats.org/officeDocument/2006/relationships/hyperlink" Target="http://www.sec.gov/Archives/edgar/data/../../../ix?doc=/Archives/edgar/data/1166691/000119312526177138/cmcsa-20260424.htm" TargetMode="External"/><Relationship Id="rId14" Type="http://schemas.openxmlformats.org/officeDocument/2006/relationships/hyperlink" Target="http://www.sec.gov/Archives/edgar/data/../../../ix?doc=/Archives/edgar/data/1166691/000162828026004994/cmcsa-20251231.htm" TargetMode="External"/><Relationship Id="rId15" Type="http://schemas.openxmlformats.org/officeDocument/2006/relationships/image" Target="media/image2.jpeg"/><Relationship Id="rId16" Type="http://schemas.openxmlformats.org/officeDocument/2006/relationships/hyperlink" Target="http://www.sec.gov/Archives/edgar/data/355069/000119312513370526/d554661dex43.htm" TargetMode="External"/><Relationship Id="rId17" Type="http://schemas.openxmlformats.org/officeDocument/2006/relationships/hyperlink" Target="http://www.sec.gov/Archives/edgar/data/902739/000119312515384253/d60854dex44.htm" TargetMode="External"/><Relationship Id="rId18" Type="http://schemas.openxmlformats.org/officeDocument/2006/relationships/hyperlink" Target="http://www.sec.gov/Archives/edgar/data/902739/000119312515384253/d60854dex44.htm" TargetMode="External"/><Relationship Id="rId19" Type="http://schemas.openxmlformats.org/officeDocument/2006/relationships/hyperlink" Target="http://www.sec.gov/Archives/edgar/data/1166691/000095010325012777/dp235423_ex0401.htm" TargetMode="External"/><Relationship Id="rId20" Type="http://schemas.openxmlformats.org/officeDocument/2006/relationships/hyperlink" Target="http://www.sec.gov/Archives/edgar/data/0001166691/000095010321012610/dp156478_ex0401.htm" TargetMode="External"/><Relationship Id="rId21" Type="http://schemas.openxmlformats.org/officeDocument/2006/relationships/hyperlink" Target="http://www.sec.gov/Archives/edgar/data/0001166691/000095010321012610/dp156478_ex0402.htm" TargetMode="External"/><Relationship Id="rId22" Type="http://schemas.openxmlformats.org/officeDocument/2006/relationships/hyperlink" Target="http://www.sec.gov/Archives/edgar/data/0001166691/000095010321012610/dp156478_ex0402.htm" TargetMode="External"/><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36340</Words>
  <Characters>189976</Characters>
  <CharactersWithSpaces>226960</CharactersWithSpaces>
  <Paragraphs>2731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