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12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10-Q </w:t>
      </w:r>
    </w:p>
    <w:p>
      <w:pPr>
        <w:pStyle w:val="TextBody"/>
        <w:bidi w:val="0"/>
        <w:spacing w:lineRule="atLeast" w:line="176" w:before="0" w:after="0"/>
        <w:jc w:val="both"/>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For the transition period from                       to     </w:t>
      </w:r>
      <w:r>
        <w:rPr>
          <w:color w:val="000000"/>
        </w:rPr>
        <w:t>  </w:t>
      </w:r>
    </w:p>
    <w:p>
      <w:pPr>
        <w:pStyle w:val="TextBody"/>
        <w:bidi w:val="0"/>
        <w:spacing w:lineRule="atLeast" w:line="142" w:before="0" w:after="0"/>
        <w:jc w:val="center"/>
        <w:rPr>
          <w:color w:val="000000"/>
        </w:rPr>
      </w:pPr>
      <w:r>
        <w:rPr>
          <w:color w:val="000000"/>
        </w:rPr>
        <w:t>               </w:t>
      </w:r>
    </w:p>
    <w:tbl>
      <w:tblPr>
        <w:tblW w:w="8324" w:type="dxa"/>
        <w:jc w:val="left"/>
        <w:tblInd w:w="0" w:type="dxa"/>
        <w:tblLayout w:type="fixed"/>
        <w:tblCellMar>
          <w:top w:w="28" w:type="dxa"/>
          <w:left w:w="28" w:type="dxa"/>
          <w:bottom w:w="28" w:type="dxa"/>
          <w:right w:w="28" w:type="dxa"/>
        </w:tblCellMar>
      </w:tblPr>
      <w:tblGrid>
        <w:gridCol w:w="793"/>
        <w:gridCol w:w="697"/>
        <w:gridCol w:w="700"/>
        <w:gridCol w:w="1074"/>
        <w:gridCol w:w="1074"/>
        <w:gridCol w:w="1077"/>
        <w:gridCol w:w="851"/>
        <w:gridCol w:w="851"/>
        <w:gridCol w:w="1207"/>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3716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542925"/>
                          </a:xfrm>
                          <a:prstGeom prst="rect">
                            <a:avLst/>
                          </a:prstGeom>
                        </pic:spPr>
                      </pic:pic>
                    </a:graphicData>
                  </a:graphic>
                </wp:inline>
              </w:drawing>
            </w:r>
            <w:bookmarkStart w:id="0" w:name="i-1"/>
            <w:bookmarkEnd w:id="0"/>
          </w:p>
        </w:tc>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State of</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Address and Telephone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Number of Principal Executive Offices</w:t>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001-32871</w:t>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COMCAST CORPORATION</w:t>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27-0000798</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Pennsylvania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One Comcast Center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Philadelphia, PA 19103-2838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(215) 286-1700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608"/>
        <w:gridCol w:w="1359"/>
        <w:gridCol w:w="1376"/>
        <w:gridCol w:w="109"/>
        <w:gridCol w:w="109"/>
        <w:gridCol w:w="109"/>
        <w:gridCol w:w="555"/>
        <w:gridCol w:w="537"/>
        <w:gridCol w:w="539"/>
        <w:gridCol w:w="109"/>
        <w:gridCol w:w="109"/>
        <w:gridCol w:w="109"/>
        <w:gridCol w:w="1044"/>
        <w:gridCol w:w="1044"/>
        <w:gridCol w:w="1489"/>
      </w:tblGrid>
      <w:tr>
        <w:trPr/>
        <w:tc>
          <w:tcPr>
            <w:tcW w:w="160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CMCSA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0.250% Notes due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CMCS27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CMCS29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0.250%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CMCS29A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0.750%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CMCS32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3.250%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CMCS32A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1.875% Notes due 2036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CMCS36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3.550% Notes due 2036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CMCS36A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1.250% Notes due 2040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CMCS40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5.250% Notes due 2040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CMCS40A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5.50%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CCGBP29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4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 Exchangeable Subordinated Debentures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CCZ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240"/>
        <w:jc w:val="both"/>
        <w:rPr/>
      </w:pPr>
      <w:r>
        <w:rPr>
          <w:rFonts w:ascii="Times New Roman;serif" w:hAnsi="Times New Roman;serif"/>
          <w:b w:val="false"/>
          <w:color w:val="000000"/>
          <w:sz w:val="19"/>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9"/>
        </w:rPr>
        <w:t xml:space="preserve">No </w:t>
      </w:r>
      <w:r>
        <w:rPr>
          <w:color w:val="000000"/>
        </w:rPr>
        <w:t>☐</w:t>
      </w:r>
    </w:p>
    <w:p>
      <w:pPr>
        <w:pStyle w:val="TextBody"/>
        <w:bidi w:val="0"/>
        <w:spacing w:lineRule="auto" w:line="288" w:before="60" w:after="180"/>
        <w:jc w:val="both"/>
        <w:rPr/>
      </w:pPr>
      <w:r>
        <w:rPr>
          <w:rFonts w:ascii="Times New Roman;serif" w:hAnsi="Times New Roman;serif"/>
          <w:b w:val="false"/>
          <w:color w:val="000000"/>
          <w:sz w:val="19"/>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9"/>
        </w:rPr>
        <w:t xml:space="preserve">No </w:t>
      </w:r>
      <w:r>
        <w:rPr>
          <w:color w:val="000000"/>
        </w:rPr>
        <w:t>☐</w:t>
      </w:r>
    </w:p>
    <w:p>
      <w:pPr>
        <w:pStyle w:val="TextBody"/>
        <w:bidi w:val="0"/>
        <w:spacing w:lineRule="auto" w:line="288" w:before="120" w:after="283"/>
        <w:jc w:val="both"/>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587"/>
        <w:gridCol w:w="516"/>
        <w:gridCol w:w="518"/>
        <w:gridCol w:w="109"/>
        <w:gridCol w:w="109"/>
        <w:gridCol w:w="109"/>
        <w:gridCol w:w="480"/>
        <w:gridCol w:w="480"/>
        <w:gridCol w:w="481"/>
        <w:gridCol w:w="109"/>
        <w:gridCol w:w="109"/>
        <w:gridCol w:w="109"/>
        <w:gridCol w:w="600"/>
        <w:gridCol w:w="600"/>
        <w:gridCol w:w="601"/>
        <w:gridCol w:w="109"/>
        <w:gridCol w:w="109"/>
        <w:gridCol w:w="109"/>
        <w:gridCol w:w="606"/>
        <w:gridCol w:w="606"/>
        <w:gridCol w:w="609"/>
        <w:gridCol w:w="109"/>
        <w:gridCol w:w="109"/>
        <w:gridCol w:w="109"/>
        <w:gridCol w:w="611"/>
        <w:gridCol w:w="611"/>
        <w:gridCol w:w="614"/>
        <w:gridCol w:w="109"/>
        <w:gridCol w:w="109"/>
        <w:gridCol w:w="159"/>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1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18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18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18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Emerging growth company</w:t>
            </w:r>
          </w:p>
        </w:tc>
        <w:tc>
          <w:tcPr>
            <w:tcW w:w="37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jc w:val="both"/>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180"/>
        <w:jc w:val="both"/>
        <w:rPr/>
      </w:pPr>
      <w:r>
        <w:rPr>
          <w:rFonts w:ascii="Times New Roman;serif" w:hAnsi="Times New Roman;serif"/>
          <w:b w:val="false"/>
          <w:color w:val="000000"/>
          <w:sz w:val="19"/>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9"/>
        </w:rPr>
        <w:t xml:space="preserve">No </w:t>
      </w:r>
      <w:r>
        <w:rPr>
          <w:color w:val="000000"/>
        </w:rPr>
        <w:t>☒</w:t>
      </w:r>
    </w:p>
    <w:p>
      <w:pPr>
        <w:pStyle w:val="TextBody"/>
        <w:bidi w:val="0"/>
        <w:spacing w:lineRule="auto" w:line="288" w:before="120" w:after="283"/>
        <w:jc w:val="both"/>
        <w:rPr>
          <w:rFonts w:ascii="Times New Roman;serif" w:hAnsi="Times New Roman;serif"/>
          <w:b w:val="false"/>
          <w:color w:val="000000"/>
          <w:sz w:val="19"/>
        </w:rPr>
      </w:pPr>
      <w:r>
        <w:rPr>
          <w:rFonts w:ascii="Times New Roman;serif" w:hAnsi="Times New Roman;serif"/>
          <w:b w:val="false"/>
          <w:color w:val="000000"/>
          <w:sz w:val="19"/>
        </w:rPr>
        <w:t>Indicate the number of shares outstanding of each of the issuer’s classes of common stock, as of the latest practicable date:</w:t>
      </w:r>
    </w:p>
    <w:p>
      <w:pPr>
        <w:pStyle w:val="TextBody"/>
        <w:bidi w:val="0"/>
        <w:spacing w:lineRule="auto" w:line="288" w:before="0" w:after="240"/>
        <w:jc w:val="both"/>
        <w:rPr/>
      </w:pPr>
      <w:r>
        <w:rPr>
          <w:rFonts w:ascii="Times New Roman;serif" w:hAnsi="Times New Roman;serif"/>
          <w:b w:val="false"/>
          <w:color w:val="000000"/>
          <w:sz w:val="19"/>
        </w:rPr>
        <w:t xml:space="preserve">As of October 15, 2026, there were </w:t>
      </w:r>
      <w:r>
        <w:rPr>
          <w:rFonts w:ascii="Times New Roman;serif" w:hAnsi="Times New Roman;serif"/>
          <w:b w:val="false"/>
          <w:color w:val="000000"/>
          <w:sz w:val="20"/>
        </w:rPr>
        <w:t xml:space="preserve">3,541,561,960 </w:t>
      </w:r>
      <w:r>
        <w:rPr>
          <w:rFonts w:ascii="Times New Roman;serif" w:hAnsi="Times New Roman;serif"/>
          <w:b w:val="false"/>
          <w:color w:val="000000"/>
          <w:sz w:val="19"/>
        </w:rPr>
        <w:t xml:space="preserve">shares of Comcast Corporation Class A common stock and </w:t>
      </w:r>
      <w:r>
        <w:rPr>
          <w:rFonts w:ascii="Times New Roman;serif" w:hAnsi="Times New Roman;serif"/>
          <w:b w:val="false"/>
          <w:color w:val="000000"/>
          <w:sz w:val="20"/>
        </w:rPr>
        <w:t xml:space="preserve">9,444,375 </w:t>
      </w:r>
      <w:r>
        <w:rPr>
          <w:rFonts w:ascii="Times New Roman;serif" w:hAnsi="Times New Roman;serif"/>
          <w:b w:val="false"/>
          <w:color w:val="000000"/>
          <w:sz w:val="19"/>
        </w:rPr>
        <w:t>shares of Class B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13360"/>
                <wp:effectExtent l="0" t="0" r="0" b="0"/>
                <wp:wrapNone/>
                <wp:docPr id="2"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120"/>
                        <w:jc w:val="both"/>
                        <w:rPr/>
                      </w:pPr>
                      <w:r>
                        <w:rPr/>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60" w:after="120"/>
        <w:jc w:val="center"/>
        <w:rPr>
          <w:rFonts w:ascii="Helvetica;sans-serif" w:hAnsi="Helvetica;sans-serif"/>
          <w:b/>
          <w:color w:val="000000"/>
          <w:sz w:val="24"/>
        </w:rPr>
      </w:pPr>
      <w:r>
        <w:rPr>
          <w:rFonts w:ascii="Helvetica;sans-serif" w:hAnsi="Helvetica;sans-serif"/>
          <w:b/>
          <w:color w:val="000000"/>
          <w:sz w:val="24"/>
        </w:rPr>
        <w:t>TABLE OF CONTENTS</w:t>
      </w:r>
    </w:p>
    <w:tbl>
      <w:tblPr>
        <w:tblW w:w="10004" w:type="dxa"/>
        <w:jc w:val="left"/>
        <w:tblInd w:w="0" w:type="dxa"/>
        <w:tblLayout w:type="fixed"/>
        <w:tblCellMar>
          <w:top w:w="28" w:type="dxa"/>
          <w:left w:w="28" w:type="dxa"/>
          <w:bottom w:w="28" w:type="dxa"/>
          <w:right w:w="28" w:type="dxa"/>
        </w:tblCellMar>
      </w:tblPr>
      <w:tblGrid>
        <w:gridCol w:w="305"/>
        <w:gridCol w:w="268"/>
        <w:gridCol w:w="268"/>
        <w:gridCol w:w="2452"/>
        <w:gridCol w:w="2452"/>
        <w:gridCol w:w="2461"/>
        <w:gridCol w:w="522"/>
        <w:gridCol w:w="522"/>
        <w:gridCol w:w="754"/>
      </w:tblGrid>
      <w:tr>
        <w:trPr/>
        <w:tc>
          <w:tcPr>
            <w:tcW w:w="3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73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color w:val="000000"/>
              </w:rPr>
            </w:pPr>
            <w:r>
              <w:rPr>
                <w:color w:val="000000"/>
              </w:rPr>
              <w:t>  </w:t>
            </w:r>
          </w:p>
        </w:tc>
        <w:tc>
          <w:tcPr>
            <w:tcW w:w="17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Page</w:t>
              <w:br/>
              <w:t>Number</w:t>
            </w:r>
          </w:p>
        </w:tc>
      </w:tr>
      <w:tr>
        <w:trPr/>
        <w:tc>
          <w:tcPr>
            <w:tcW w:w="100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10db8200c9a748869ba64adee745ca1f_10">
              <w:r>
                <w:rPr>
                  <w:rStyle w:val="InternetLink"/>
                  <w:rFonts w:ascii="Times New Roman;serif" w:hAnsi="Times New Roman;serif"/>
                  <w:b/>
                  <w:color w:val="0000FF"/>
                  <w:sz w:val="20"/>
                  <w:u w:val="single"/>
                </w:rPr>
                <w:t>PART I. FINANCIAL INFORMATION</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b8200c9a748869ba64adee745ca1f_10">
              <w:r>
                <w:rPr>
                  <w:rStyle w:val="InternetLink"/>
                  <w:rFonts w:ascii="Times New Roman;serif" w:hAnsi="Times New Roman;serif"/>
                  <w:b w:val="false"/>
                  <w:color w:val="0000FF"/>
                  <w:sz w:val="20"/>
                  <w:u w:val="single"/>
                </w:rPr>
                <w:t>Financial Statements</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b8200c9a748869ba64adee745ca1f_10">
              <w:r>
                <w:rPr>
                  <w:rStyle w:val="InternetLink"/>
                  <w:rFonts w:ascii="Times New Roman;serif" w:hAnsi="Times New Roman;serif"/>
                  <w:b w:val="false"/>
                  <w:strike w:val="false"/>
                  <w:dstrike w:val="false"/>
                  <w:color w:val="2C2C2C"/>
                  <w:sz w:val="20"/>
                  <w:u w:val="none"/>
                  <w:effect w:val="none"/>
                </w:rPr>
                <w:t>1</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b8200c9a748869ba64adee745ca1f_13">
              <w:r>
                <w:rPr>
                  <w:rStyle w:val="InternetLink"/>
                  <w:rFonts w:ascii="Times New Roman;serif" w:hAnsi="Times New Roman;serif"/>
                  <w:b w:val="false"/>
                  <w:color w:val="0000FF"/>
                  <w:sz w:val="20"/>
                  <w:u w:val="single"/>
                </w:rPr>
                <w:t>Condensed Consolidated Statements of Income (Unaudited)</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b8200c9a748869ba64adee745ca1f_13">
              <w:r>
                <w:rPr>
                  <w:rStyle w:val="InternetLink"/>
                  <w:rFonts w:ascii="Times New Roman;serif" w:hAnsi="Times New Roman;serif"/>
                  <w:b w:val="false"/>
                  <w:strike w:val="false"/>
                  <w:dstrike w:val="false"/>
                  <w:color w:val="2C2C2C"/>
                  <w:sz w:val="20"/>
                  <w:u w:val="none"/>
                  <w:effect w:val="none"/>
                </w:rPr>
                <w:t>1</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b8200c9a748869ba64adee745ca1f_16">
              <w:r>
                <w:rPr>
                  <w:rStyle w:val="InternetLink"/>
                  <w:rFonts w:ascii="Times New Roman;serif" w:hAnsi="Times New Roman;serif"/>
                  <w:b w:val="false"/>
                  <w:color w:val="0000FF"/>
                  <w:sz w:val="20"/>
                  <w:u w:val="single"/>
                </w:rPr>
                <w:t>Condensed Consolidated Statements of Comprehensive Income (Unaudited)</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b8200c9a748869ba64adee745ca1f_16">
              <w:r>
                <w:rPr>
                  <w:rStyle w:val="InternetLink"/>
                  <w:rFonts w:ascii="Times New Roman;serif" w:hAnsi="Times New Roman;serif"/>
                  <w:b w:val="false"/>
                  <w:strike w:val="false"/>
                  <w:dstrike w:val="false"/>
                  <w:color w:val="2C2C2C"/>
                  <w:sz w:val="20"/>
                  <w:u w:val="none"/>
                  <w:effect w:val="none"/>
                </w:rPr>
                <w:t>2</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b8200c9a748869ba64adee745ca1f_19">
              <w:r>
                <w:rPr>
                  <w:rStyle w:val="InternetLink"/>
                  <w:rFonts w:ascii="Times New Roman;serif" w:hAnsi="Times New Roman;serif"/>
                  <w:b w:val="false"/>
                  <w:color w:val="0000FF"/>
                  <w:sz w:val="20"/>
                  <w:u w:val="single"/>
                </w:rPr>
                <w:t>Condensed Consolidated Statements of Cash Flows (Unaudited)</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b8200c9a748869ba64adee745ca1f_19">
              <w:r>
                <w:rPr>
                  <w:rStyle w:val="InternetLink"/>
                  <w:rFonts w:ascii="Times New Roman;serif" w:hAnsi="Times New Roman;serif"/>
                  <w:b w:val="false"/>
                  <w:strike w:val="false"/>
                  <w:dstrike w:val="false"/>
                  <w:color w:val="2C2C2C"/>
                  <w:sz w:val="20"/>
                  <w:u w:val="none"/>
                  <w:effect w:val="none"/>
                </w:rPr>
                <w:t>3</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b8200c9a748869ba64adee745ca1f_22">
              <w:r>
                <w:rPr>
                  <w:rStyle w:val="InternetLink"/>
                  <w:rFonts w:ascii="Times New Roman;serif" w:hAnsi="Times New Roman;serif"/>
                  <w:b w:val="false"/>
                  <w:color w:val="0000FF"/>
                  <w:sz w:val="20"/>
                  <w:u w:val="single"/>
                </w:rPr>
                <w:t xml:space="preserve">Condensed Consolidated Balance Sheets (Unaudited) </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b8200c9a748869ba64adee745ca1f_22">
              <w:r>
                <w:rPr>
                  <w:rStyle w:val="InternetLink"/>
                  <w:rFonts w:ascii="Times New Roman;serif" w:hAnsi="Times New Roman;serif"/>
                  <w:b w:val="false"/>
                  <w:strike w:val="false"/>
                  <w:dstrike w:val="false"/>
                  <w:color w:val="2C2C2C"/>
                  <w:sz w:val="20"/>
                  <w:u w:val="none"/>
                  <w:effect w:val="none"/>
                </w:rPr>
                <w:t>4</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b8200c9a748869ba64adee745ca1f_25">
              <w:r>
                <w:rPr>
                  <w:rStyle w:val="InternetLink"/>
                  <w:rFonts w:ascii="Times New Roman;serif" w:hAnsi="Times New Roman;serif"/>
                  <w:b w:val="false"/>
                  <w:color w:val="0000FF"/>
                  <w:sz w:val="20"/>
                  <w:u w:val="single"/>
                </w:rPr>
                <w:t>Condensed Consolidated Statements of Changes in Equity (Unaudited)</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b8200c9a748869ba64adee745ca1f_25">
              <w:r>
                <w:rPr>
                  <w:rStyle w:val="InternetLink"/>
                  <w:rFonts w:ascii="Times New Roman;serif" w:hAnsi="Times New Roman;serif"/>
                  <w:b w:val="false"/>
                  <w:strike w:val="false"/>
                  <w:dstrike w:val="false"/>
                  <w:color w:val="2C2C2C"/>
                  <w:sz w:val="20"/>
                  <w:u w:val="none"/>
                  <w:effect w:val="none"/>
                </w:rPr>
                <w:t>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b8200c9a748869ba64adee745ca1f_28">
              <w:r>
                <w:rPr>
                  <w:rStyle w:val="InternetLink"/>
                  <w:rFonts w:ascii="Times New Roman;serif" w:hAnsi="Times New Roman;serif"/>
                  <w:b w:val="false"/>
                  <w:color w:val="0000FF"/>
                  <w:sz w:val="20"/>
                  <w:u w:val="single"/>
                </w:rPr>
                <w:t>Notes to Condensed Consolidated Financial Statements (Unaudited)</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b8200c9a748869ba64adee745ca1f_28">
              <w:r>
                <w:rPr>
                  <w:rStyle w:val="InternetLink"/>
                  <w:rFonts w:ascii="Times New Roman;serif" w:hAnsi="Times New Roman;serif"/>
                  <w:b w:val="false"/>
                  <w:strike w:val="false"/>
                  <w:dstrike w:val="false"/>
                  <w:color w:val="2C2C2C"/>
                  <w:sz w:val="20"/>
                  <w:u w:val="none"/>
                  <w:effect w:val="none"/>
                </w:rPr>
                <w:t>6</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b8200c9a748869ba64adee745ca1f_31">
              <w:r>
                <w:rPr>
                  <w:rStyle w:val="InternetLink"/>
                  <w:rFonts w:ascii="Times New Roman;serif" w:hAnsi="Times New Roman;serif"/>
                  <w:b w:val="false"/>
                  <w:color w:val="0000FF"/>
                  <w:sz w:val="20"/>
                  <w:u w:val="single"/>
                </w:rPr>
                <w:t>Note 1: Condensed Consolidated Financial Statements</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b8200c9a748869ba64adee745ca1f_31">
              <w:r>
                <w:rPr>
                  <w:rStyle w:val="InternetLink"/>
                  <w:rFonts w:ascii="Times New Roman;serif" w:hAnsi="Times New Roman;serif"/>
                  <w:b w:val="false"/>
                  <w:strike w:val="false"/>
                  <w:dstrike w:val="false"/>
                  <w:color w:val="2C2C2C"/>
                  <w:sz w:val="20"/>
                  <w:u w:val="none"/>
                  <w:effect w:val="none"/>
                </w:rPr>
                <w:t>6</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b8200c9a748869ba64adee745ca1f_34">
              <w:r>
                <w:rPr>
                  <w:rStyle w:val="InternetLink"/>
                  <w:rFonts w:ascii="Times New Roman;serif" w:hAnsi="Times New Roman;serif"/>
                  <w:b w:val="false"/>
                  <w:color w:val="0000FF"/>
                  <w:sz w:val="20"/>
                  <w:u w:val="single"/>
                </w:rPr>
                <w:t>Note 2: Segment Information</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b8200c9a748869ba64adee745ca1f_34">
              <w:r>
                <w:rPr>
                  <w:rStyle w:val="InternetLink"/>
                  <w:rFonts w:ascii="Times New Roman;serif" w:hAnsi="Times New Roman;serif"/>
                  <w:b w:val="false"/>
                  <w:strike w:val="false"/>
                  <w:dstrike w:val="false"/>
                  <w:color w:val="2C2C2C"/>
                  <w:sz w:val="20"/>
                  <w:u w:val="none"/>
                  <w:effect w:val="none"/>
                </w:rPr>
                <w:t>7</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b8200c9a748869ba64adee745ca1f_37">
              <w:r>
                <w:rPr>
                  <w:rStyle w:val="InternetLink"/>
                  <w:rFonts w:ascii="Times New Roman;serif" w:hAnsi="Times New Roman;serif"/>
                  <w:b w:val="false"/>
                  <w:color w:val="0000FF"/>
                  <w:sz w:val="20"/>
                  <w:u w:val="single"/>
                </w:rPr>
                <w:t>Note 3: Revenue</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b8200c9a748869ba64adee745ca1f_37">
              <w:r>
                <w:rPr>
                  <w:rStyle w:val="InternetLink"/>
                  <w:rFonts w:ascii="Times New Roman;serif" w:hAnsi="Times New Roman;serif"/>
                  <w:b w:val="false"/>
                  <w:strike w:val="false"/>
                  <w:dstrike w:val="false"/>
                  <w:color w:val="2C2C2C"/>
                  <w:sz w:val="20"/>
                  <w:u w:val="none"/>
                  <w:effect w:val="none"/>
                </w:rPr>
                <w:t>11</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b8200c9a748869ba64adee745ca1f_40">
              <w:r>
                <w:rPr>
                  <w:rStyle w:val="InternetLink"/>
                  <w:rFonts w:ascii="Times New Roman;serif" w:hAnsi="Times New Roman;serif"/>
                  <w:b w:val="false"/>
                  <w:color w:val="0000FF"/>
                  <w:sz w:val="20"/>
                  <w:u w:val="single"/>
                </w:rPr>
                <w:t>Note 4: Programming and Production Costs</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b8200c9a748869ba64adee745ca1f_40">
              <w:r>
                <w:rPr>
                  <w:rStyle w:val="InternetLink"/>
                  <w:rFonts w:ascii="Times New Roman;serif" w:hAnsi="Times New Roman;serif"/>
                  <w:b w:val="false"/>
                  <w:strike w:val="false"/>
                  <w:dstrike w:val="false"/>
                  <w:color w:val="2C2C2C"/>
                  <w:sz w:val="20"/>
                  <w:u w:val="none"/>
                  <w:effect w:val="none"/>
                </w:rPr>
                <w:t>12</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b8200c9a748869ba64adee745ca1f_43">
              <w:r>
                <w:rPr>
                  <w:rStyle w:val="InternetLink"/>
                  <w:rFonts w:ascii="Times New Roman;serif" w:hAnsi="Times New Roman;serif"/>
                  <w:b w:val="false"/>
                  <w:color w:val="0000FF"/>
                  <w:sz w:val="20"/>
                  <w:u w:val="single"/>
                </w:rPr>
                <w:t>Note 5: Debt</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b8200c9a748869ba64adee745ca1f_43">
              <w:r>
                <w:rPr>
                  <w:rStyle w:val="InternetLink"/>
                  <w:rFonts w:ascii="Times New Roman;serif" w:hAnsi="Times New Roman;serif"/>
                  <w:b w:val="false"/>
                  <w:strike w:val="false"/>
                  <w:dstrike w:val="false"/>
                  <w:color w:val="2C2C2C"/>
                  <w:sz w:val="20"/>
                  <w:u w:val="none"/>
                  <w:effect w:val="none"/>
                </w:rPr>
                <w:t>12</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b8200c9a748869ba64adee745ca1f_46">
              <w:r>
                <w:rPr>
                  <w:rStyle w:val="InternetLink"/>
                  <w:rFonts w:ascii="Times New Roman;serif" w:hAnsi="Times New Roman;serif"/>
                  <w:b w:val="false"/>
                  <w:color w:val="0000FF"/>
                  <w:sz w:val="20"/>
                  <w:u w:val="single"/>
                </w:rPr>
                <w:t>Note 6: Significant Transactions</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b8200c9a748869ba64adee745ca1f_46">
              <w:r>
                <w:rPr>
                  <w:rStyle w:val="InternetLink"/>
                  <w:rFonts w:ascii="Times New Roman;serif" w:hAnsi="Times New Roman;serif"/>
                  <w:b w:val="false"/>
                  <w:strike w:val="false"/>
                  <w:dstrike w:val="false"/>
                  <w:color w:val="2C2C2C"/>
                  <w:sz w:val="20"/>
                  <w:u w:val="none"/>
                  <w:effect w:val="none"/>
                </w:rPr>
                <w:t>12</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b8200c9a748869ba64adee745ca1f_52">
              <w:r>
                <w:rPr>
                  <w:rStyle w:val="InternetLink"/>
                  <w:rFonts w:ascii="Times New Roman;serif" w:hAnsi="Times New Roman;serif"/>
                  <w:b w:val="false"/>
                  <w:color w:val="0000FF"/>
                  <w:sz w:val="20"/>
                  <w:u w:val="single"/>
                </w:rPr>
                <w:t>Note 7: Investments and Variable Interest Entities</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b8200c9a748869ba64adee745ca1f_52">
              <w:r>
                <w:rPr>
                  <w:rStyle w:val="InternetLink"/>
                  <w:rFonts w:ascii="Times New Roman;serif" w:hAnsi="Times New Roman;serif"/>
                  <w:b w:val="false"/>
                  <w:strike w:val="false"/>
                  <w:dstrike w:val="false"/>
                  <w:color w:val="2C2C2C"/>
                  <w:sz w:val="20"/>
                  <w:u w:val="none"/>
                  <w:effect w:val="none"/>
                </w:rPr>
                <w:t>13</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b8200c9a748869ba64adee745ca1f_58">
              <w:r>
                <w:rPr>
                  <w:rStyle w:val="InternetLink"/>
                  <w:rFonts w:ascii="Times New Roman;serif" w:hAnsi="Times New Roman;serif"/>
                  <w:b w:val="false"/>
                  <w:color w:val="0000FF"/>
                  <w:sz w:val="20"/>
                  <w:u w:val="single"/>
                </w:rPr>
                <w:t>Note 8: Goodwill and Intangible Assets</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b8200c9a748869ba64adee745ca1f_58">
              <w:r>
                <w:rPr>
                  <w:rStyle w:val="InternetLink"/>
                  <w:rFonts w:ascii="Times New Roman;serif" w:hAnsi="Times New Roman;serif"/>
                  <w:b w:val="false"/>
                  <w:strike w:val="false"/>
                  <w:dstrike w:val="false"/>
                  <w:color w:val="2C2C2C"/>
                  <w:sz w:val="20"/>
                  <w:u w:val="none"/>
                  <w:effect w:val="none"/>
                </w:rPr>
                <w:t>14</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b8200c9a748869ba64adee745ca1f_61">
              <w:r>
                <w:rPr>
                  <w:rStyle w:val="InternetLink"/>
                  <w:rFonts w:ascii="Times New Roman;serif" w:hAnsi="Times New Roman;serif"/>
                  <w:b w:val="false"/>
                  <w:color w:val="0000FF"/>
                  <w:sz w:val="20"/>
                  <w:u w:val="single"/>
                </w:rPr>
                <w:t>Note 9: Equity and Share-Based Compensation</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b8200c9a748869ba64adee745ca1f_61">
              <w:r>
                <w:rPr>
                  <w:rStyle w:val="InternetLink"/>
                  <w:rFonts w:ascii="Times New Roman;serif" w:hAnsi="Times New Roman;serif"/>
                  <w:b w:val="false"/>
                  <w:strike w:val="false"/>
                  <w:dstrike w:val="false"/>
                  <w:color w:val="2C2C2C"/>
                  <w:sz w:val="20"/>
                  <w:u w:val="none"/>
                  <w:effect w:val="none"/>
                </w:rPr>
                <w:t>15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b8200c9a748869ba64adee745ca1f_64">
              <w:r>
                <w:rPr>
                  <w:rStyle w:val="InternetLink"/>
                  <w:rFonts w:ascii="Times New Roman;serif" w:hAnsi="Times New Roman;serif"/>
                  <w:b w:val="false"/>
                  <w:color w:val="0000FF"/>
                  <w:sz w:val="20"/>
                  <w:u w:val="single"/>
                </w:rPr>
                <w:t>Note 10: Supplemental Financial Information</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b8200c9a748869ba64adee745ca1f_64">
              <w:r>
                <w:rPr>
                  <w:rStyle w:val="InternetLink"/>
                  <w:rFonts w:ascii="Times New Roman;serif" w:hAnsi="Times New Roman;serif"/>
                  <w:b w:val="false"/>
                  <w:strike w:val="false"/>
                  <w:dstrike w:val="false"/>
                  <w:color w:val="2C2C2C"/>
                  <w:sz w:val="20"/>
                  <w:u w:val="none"/>
                  <w:effect w:val="none"/>
                </w:rPr>
                <w:t>1</w:t>
              </w:r>
            </w:hyperlink>
            <w:r>
              <w:rPr>
                <w:rFonts w:ascii="Times New Roman;serif" w:hAnsi="Times New Roman;serif"/>
                <w:b w:val="false"/>
                <w:color w:val="2C2C2C"/>
                <w:sz w:val="20"/>
              </w:rPr>
              <w:t>6</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b8200c9a748869ba64adee745ca1f_67">
              <w:r>
                <w:rPr>
                  <w:rStyle w:val="InternetLink"/>
                  <w:rFonts w:ascii="Times New Roman;serif" w:hAnsi="Times New Roman;serif"/>
                  <w:b w:val="false"/>
                  <w:color w:val="0000FF"/>
                  <w:sz w:val="20"/>
                  <w:u w:val="single"/>
                </w:rPr>
                <w:t>Note 11: Commitments and Contingencies</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b8200c9a748869ba64adee745ca1f_67">
              <w:r>
                <w:rPr>
                  <w:rStyle w:val="InternetLink"/>
                  <w:rFonts w:ascii="Times New Roman;serif" w:hAnsi="Times New Roman;serif"/>
                  <w:b w:val="false"/>
                  <w:strike w:val="false"/>
                  <w:dstrike w:val="false"/>
                  <w:color w:val="2C2C2C"/>
                  <w:sz w:val="20"/>
                  <w:u w:val="none"/>
                  <w:effect w:val="none"/>
                </w:rPr>
                <w:t>16</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b8200c9a748869ba64adee745ca1f_7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b8200c9a748869ba64adee745ca1f_70">
              <w:r>
                <w:rPr>
                  <w:rStyle w:val="InternetLink"/>
                  <w:rFonts w:ascii="Times New Roman;serif" w:hAnsi="Times New Roman;serif"/>
                  <w:b w:val="false"/>
                  <w:strike w:val="false"/>
                  <w:dstrike w:val="false"/>
                  <w:color w:val="000000"/>
                  <w:sz w:val="20"/>
                  <w:u w:val="none"/>
                  <w:effect w:val="none"/>
                </w:rPr>
                <w:t>17</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b8200c9a748869ba64adee745ca1f_127">
              <w:r>
                <w:rPr>
                  <w:rStyle w:val="InternetLink"/>
                  <w:rFonts w:ascii="Times New Roman;serif" w:hAnsi="Times New Roman;serif"/>
                  <w:b w:val="false"/>
                  <w:color w:val="0000FF"/>
                  <w:sz w:val="20"/>
                  <w:u w:val="single"/>
                </w:rPr>
                <w:t>Quantitative and Qualitative Disclosures About Market Risk</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b8200c9a748869ba64adee745ca1f_127">
              <w:r>
                <w:rPr>
                  <w:rStyle w:val="InternetLink"/>
                  <w:rFonts w:ascii="Times New Roman;serif" w:hAnsi="Times New Roman;serif"/>
                  <w:b w:val="false"/>
                  <w:strike w:val="false"/>
                  <w:dstrike w:val="false"/>
                  <w:color w:val="000000"/>
                  <w:sz w:val="20"/>
                  <w:u w:val="none"/>
                  <w:effect w:val="none"/>
                </w:rPr>
                <w:t>37</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b8200c9a748869ba64adee745ca1f_130">
              <w:r>
                <w:rPr>
                  <w:rStyle w:val="InternetLink"/>
                  <w:rFonts w:ascii="Times New Roman;serif" w:hAnsi="Times New Roman;serif"/>
                  <w:b w:val="false"/>
                  <w:color w:val="0000FF"/>
                  <w:sz w:val="20"/>
                  <w:u w:val="single"/>
                </w:rPr>
                <w:t>Controls and Procedures</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b8200c9a748869ba64adee745ca1f_130">
              <w:r>
                <w:rPr>
                  <w:rStyle w:val="InternetLink"/>
                  <w:rFonts w:ascii="Times New Roman;serif" w:hAnsi="Times New Roman;serif"/>
                  <w:b w:val="false"/>
                  <w:strike w:val="false"/>
                  <w:dstrike w:val="false"/>
                  <w:color w:val="000000"/>
                  <w:sz w:val="20"/>
                  <w:u w:val="none"/>
                  <w:effect w:val="none"/>
                </w:rPr>
                <w:t>37</w:t>
              </w:r>
            </w:hyperlink>
          </w:p>
        </w:tc>
      </w:tr>
      <w:tr>
        <w:trPr/>
        <w:tc>
          <w:tcPr>
            <w:tcW w:w="10004"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10db8200c9a748869ba64adee745ca1f_133">
              <w:r>
                <w:rPr>
                  <w:rStyle w:val="InternetLink"/>
                  <w:rFonts w:ascii="Times New Roman;serif" w:hAnsi="Times New Roman;serif"/>
                  <w:b/>
                  <w:color w:val="0000FF"/>
                  <w:sz w:val="20"/>
                  <w:u w:val="single"/>
                </w:rPr>
                <w:t>PART II. OTHER INFORMATION</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b8200c9a748869ba64adee745ca1f_136">
              <w:r>
                <w:rPr>
                  <w:rStyle w:val="InternetLink"/>
                  <w:rFonts w:ascii="Times New Roman;serif" w:hAnsi="Times New Roman;serif"/>
                  <w:b w:val="false"/>
                  <w:color w:val="0000FF"/>
                  <w:sz w:val="20"/>
                  <w:u w:val="single"/>
                </w:rPr>
                <w:t>Legal Proceedings</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b8200c9a748869ba64adee745ca1f_136">
              <w:r>
                <w:rPr>
                  <w:rStyle w:val="InternetLink"/>
                  <w:rFonts w:ascii="Times New Roman;serif" w:hAnsi="Times New Roman;serif"/>
                  <w:b w:val="false"/>
                  <w:strike w:val="false"/>
                  <w:dstrike w:val="false"/>
                  <w:color w:val="000000"/>
                  <w:sz w:val="20"/>
                  <w:u w:val="none"/>
                  <w:effect w:val="none"/>
                </w:rPr>
                <w:t>38</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b8200c9a748869ba64adee745ca1f_139">
              <w:r>
                <w:rPr>
                  <w:rStyle w:val="InternetLink"/>
                  <w:rFonts w:ascii="Times New Roman;serif" w:hAnsi="Times New Roman;serif"/>
                  <w:b w:val="false"/>
                  <w:color w:val="0000FF"/>
                  <w:sz w:val="20"/>
                  <w:u w:val="single"/>
                </w:rPr>
                <w:t>Risk Factors</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b8200c9a748869ba64adee745ca1f_139">
              <w:r>
                <w:rPr>
                  <w:rStyle w:val="InternetLink"/>
                  <w:rFonts w:ascii="Times New Roman;serif" w:hAnsi="Times New Roman;serif"/>
                  <w:b w:val="false"/>
                  <w:strike w:val="false"/>
                  <w:dstrike w:val="false"/>
                  <w:color w:val="000000"/>
                  <w:sz w:val="20"/>
                  <w:u w:val="none"/>
                  <w:effect w:val="none"/>
                </w:rPr>
                <w:t>38</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b8200c9a748869ba64adee745ca1f_142">
              <w:r>
                <w:rPr>
                  <w:rStyle w:val="InternetLink"/>
                  <w:rFonts w:ascii="Times New Roman;serif" w:hAnsi="Times New Roman;serif"/>
                  <w:b w:val="false"/>
                  <w:color w:val="0000FF"/>
                  <w:sz w:val="20"/>
                  <w:u w:val="single"/>
                </w:rPr>
                <w:t>Unregistered Sales of Equity Securities and Use of Proceeds</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b8200c9a748869ba64adee745ca1f_142">
              <w:r>
                <w:rPr>
                  <w:rStyle w:val="InternetLink"/>
                  <w:rFonts w:ascii="Times New Roman;serif" w:hAnsi="Times New Roman;serif"/>
                  <w:b w:val="false"/>
                  <w:strike w:val="false"/>
                  <w:dstrike w:val="false"/>
                  <w:color w:val="000000"/>
                  <w:sz w:val="20"/>
                  <w:u w:val="none"/>
                  <w:effect w:val="none"/>
                </w:rPr>
                <w:t>38</w:t>
              </w:r>
            </w:hyperlink>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0db8200c9a748869ba64adee745ca1f_148">
              <w:r>
                <w:rPr>
                  <w:rStyle w:val="InternetLink"/>
                  <w:rFonts w:ascii="Times New Roman;serif" w:hAnsi="Times New Roman;serif"/>
                  <w:b w:val="false"/>
                  <w:color w:val="0000FF"/>
                  <w:sz w:val="20"/>
                  <w:u w:val="single"/>
                </w:rPr>
                <w:t>Exhibits</w:t>
              </w:r>
            </w:hyperlink>
          </w:p>
        </w:tc>
        <w:tc>
          <w:tcPr>
            <w:tcW w:w="1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0db8200c9a748869ba64adee745ca1f_148">
              <w:r>
                <w:rPr>
                  <w:rStyle w:val="InternetLink"/>
                  <w:rFonts w:ascii="Times New Roman;serif" w:hAnsi="Times New Roman;serif"/>
                  <w:b w:val="false"/>
                  <w:strike w:val="false"/>
                  <w:dstrike w:val="false"/>
                  <w:color w:val="000000"/>
                  <w:sz w:val="20"/>
                  <w:u w:val="none"/>
                  <w:effect w:val="none"/>
                </w:rPr>
                <w:t>38</w:t>
              </w:r>
            </w:hyperlink>
          </w:p>
        </w:tc>
      </w:tr>
      <w:tr>
        <w:trPr/>
        <w:tc>
          <w:tcPr>
            <w:tcW w:w="820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hyperlink w:anchor="i10db8200c9a748869ba64adee745ca1f_151">
              <w:r>
                <w:rPr>
                  <w:rStyle w:val="InternetLink"/>
                  <w:rFonts w:ascii="Times New Roman;serif" w:hAnsi="Times New Roman;serif"/>
                  <w:b/>
                  <w:color w:val="0000FF"/>
                  <w:sz w:val="20"/>
                  <w:u w:val="single"/>
                </w:rPr>
                <w:t>SIGNATURES</w:t>
              </w:r>
            </w:hyperlink>
          </w:p>
        </w:tc>
        <w:tc>
          <w:tcPr>
            <w:tcW w:w="17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right"/>
              <w:rPr/>
            </w:pPr>
            <w:hyperlink w:anchor="i10db8200c9a748869ba64adee745ca1f_151">
              <w:r>
                <w:rPr>
                  <w:rStyle w:val="InternetLink"/>
                  <w:rFonts w:ascii="Times New Roman;serif" w:hAnsi="Times New Roman;serif"/>
                  <w:b w:val="false"/>
                  <w:strike w:val="false"/>
                  <w:dstrike w:val="false"/>
                  <w:color w:val="000000"/>
                  <w:sz w:val="20"/>
                  <w:u w:val="none"/>
                  <w:effect w:val="none"/>
                </w:rPr>
                <w:t>39</w:t>
              </w:r>
            </w:hyperlink>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40"/>
        <w:jc w:val="center"/>
        <w:rPr>
          <w:color w:val="000000"/>
        </w:rPr>
      </w:pPr>
      <w:r>
        <w:rPr>
          <w:color w:val="000000"/>
        </w:rPr>
        <w:t> </w:t>
      </w:r>
    </w:p>
    <w:p>
      <w:pPr>
        <w:pStyle w:val="TextBody"/>
        <w:bidi w:val="0"/>
        <w:spacing w:lineRule="auto" w:line="288" w:before="120" w:after="120"/>
        <w:jc w:val="center"/>
        <w:rPr>
          <w:rFonts w:ascii="Helvetica;sans-serif" w:hAnsi="Helvetica;sans-serif"/>
          <w:b/>
          <w:color w:val="000000"/>
          <w:sz w:val="20"/>
        </w:rPr>
      </w:pPr>
      <w:r>
        <w:rPr>
          <w:rFonts w:ascii="Helvetica;sans-serif" w:hAnsi="Helvetica;sans-serif"/>
          <w:b/>
          <w:color w:val="000000"/>
          <w:sz w:val="20"/>
        </w:rPr>
        <w:t>Explanatory Note</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is for the three and nine months ended September 30, 2026. This Quarterly Report on Form 10-Q modifies and supersedes documents filed before it. The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 Unless indicated otherwise, throughout this Quarterly Report on Form 10-Q, we refer to Comcast and its consolidated subsidiaries as “Comcast,” “we,” “us” and “our.”</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Numerical information in this report is presented on a rounded basis using actual amounts. Minor differences in totals and percentage calculations may exist due to rounding.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13360"/>
                <wp:effectExtent l="0" t="0" r="0" b="0"/>
                <wp:wrapNone/>
                <wp:docPr id="3" name="Frame2"/>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120"/>
                        <w:jc w:val="both"/>
                        <w:rPr/>
                      </w:pPr>
                      <w:r>
                        <w:rPr/>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80" w:after="120"/>
        <w:jc w:val="center"/>
        <w:rPr>
          <w:rFonts w:ascii="Times New Roman;serif" w:hAnsi="Times New Roman;serif"/>
          <w:b/>
          <w:color w:val="000000"/>
          <w:sz w:val="20"/>
        </w:rPr>
      </w:pPr>
      <w:r>
        <w:rPr>
          <w:rFonts w:ascii="Times New Roman;serif" w:hAnsi="Times New Roman;serif"/>
          <w:b/>
          <w:color w:val="000000"/>
          <w:sz w:val="20"/>
        </w:rPr>
        <w:t>CAUTION CONCERNING FORWARD-LOOKING STATEMENTS</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includes statements that may constitute “forward-looking statements” within the meaning of the Private Securities Litigation Reform Act of 1995, Section 27A of the Securities Act of 1933, and Section 21E of the Securities Exchange Act of 1934.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which are based on current expectations and assumptions that are subject to risks and uncertainties that may cause actual results to differ materially. These forward-looking statements are generally identified by words such as “believe,” “project,” “expect,” “anticipate,” “estimate,” “intend,” “potential,” “strategy,” “future,” “opportunity,” “commit,” “plan,” “goal,” “may,” “should,” “could,” “would,” “will,” “continue,” “will likely result” and similar expressions. In evaluating these statements, you should consider various factors, including the risks and uncertainties we describe in the “Risk Factors” sections of our Forms 10-K and 10-Q and in other reports we file with the SEC. </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Any of these factors could cause our actual results to differ materially from those expressed or implied by our forward-looking statements, which could adversely affect our businesses, results of operations or financial condition.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pStyle w:val="TextBody"/>
        <w:bidi w:val="0"/>
        <w:spacing w:lineRule="auto" w:line="288" w:before="80" w:after="60"/>
        <w:jc w:val="both"/>
        <w:rPr>
          <w:rFonts w:ascii="Times New Roman;serif" w:hAnsi="Times New Roman;serif"/>
          <w:b w:val="false"/>
          <w:color w:val="000000"/>
          <w:sz w:val="20"/>
        </w:rPr>
      </w:pPr>
      <w:r>
        <w:rPr>
          <w:rFonts w:ascii="Times New Roman;serif" w:hAnsi="Times New Roman;serif"/>
          <w:b w:val="false"/>
          <w:color w:val="000000"/>
          <w:sz w:val="20"/>
        </w:rPr>
        <w:t>Our businesses may be affected by, among other things,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businesses operate in highly competitive and dynamic industries, and our businesses and results of operations could be adversely affected if we do not compete effectively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consumer behavior continue to adversely affect our businesses and challenge existing business models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decline in advertisers’ expenditures or changes in advertising markets could negatively impact our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success depends on consumer acceptance of our content, and our businesses may be adversely affected if our content fails to achieve sufficient consumer acceptance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programming expenses for our video services are increasing on a per subscriber basis, which could adversely affect our video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loss of programming distribution agreements, or the renewal of these agreements on less favorable terms, could adversely affect our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businesses depend on using and protecting certain intellectual property rights and on not infringing, misappropriating or otherwise violating the intellectual property rights of others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unable to obtain necessary hardware, software and operational support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businesses depend on keeping pace with technological developments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cyber attack, information or security breach, or technology disruption or failure may negatively impact our ability to conduct our business or result in the misuse of confidential information, all of which could adversely affect our business, reputation or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weak economic conditions may have a negative impact on our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acquisitions and other strategic initiatives present many risks, and we may not realize the financial and strategic goals that we had contemplated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face risks relating to doing business internationally that could adversely affect our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natural disasters, severe weather and other uncontrollable events could adversely affect our business, reputation and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loss of key management personnel or popular on-air and creative talent could have an adverse effect on our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labor disputes, whether involving employees or sports organizations, may disrupt our operations and adversely affect our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the Versant Separation does not qualify as non-taxable, we and/or holders of our common stock could be subject to significant tax liability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subject to regulation by federal, state, local and foreign authorities, which impose additional costs and restrictions on our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unfavorable litigation or governmental investigation results could require us to pay significant amounts or lead to onerous operating procedures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Class B common stock has substantial voting rights and separate approval rights over several potentially material transactions, and our Chairman and Co-CEO has considerable influence over our company through his beneficial ownership of our Class B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13360"/>
                <wp:effectExtent l="0" t="0" r="0" b="0"/>
                <wp:wrapNone/>
                <wp:docPr id="4" name="Frame3"/>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120"/>
                        <w:jc w:val="both"/>
                        <w:rPr/>
                      </w:pPr>
                      <w:r>
                        <w:rPr/>
                      </w:r>
                    </w:p>
                  </w:txbxContent>
                </v:textbox>
                <w10:wrap type="none"/>
              </v:rect>
            </w:pict>
          </mc:Fallback>
        </mc:AlternateContent>
      </w:r>
    </w:p>
    <w:p>
      <w:pPr>
        <w:pStyle w:val="TextBody"/>
        <w:bidi w:val="0"/>
        <w:spacing w:before="60" w:after="1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there are risks related to our intention to separate into two independent publicly traded companies through a tax-free spin-off of NBCUniversal and Sky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13360"/>
                <wp:effectExtent l="0" t="0" r="0" b="0"/>
                <wp:wrapNone/>
                <wp:docPr id="5" name="Frame4"/>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120"/>
                        <w:jc w:val="both"/>
                        <w:rPr/>
                      </w:pPr>
                      <w:r>
                        <w:rPr/>
                      </w:r>
                    </w:p>
                  </w:txbxContent>
                </v:textbox>
                <w10:wrap type="none"/>
              </v:rect>
            </w:pict>
          </mc:Fallback>
        </mc:AlternateContent>
      </w:r>
    </w:p>
    <w:p>
      <w:pPr>
        <w:pStyle w:val="TextBody"/>
        <w:bidi w:val="0"/>
        <w:spacing w:lineRule="auto" w:line="288" w:before="60" w:after="12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lineRule="auto" w:line="288" w:before="60" w:after="120"/>
        <w:jc w:val="center"/>
        <w:rPr>
          <w:rFonts w:ascii="Helvetica;sans-serif" w:hAnsi="Helvetica;sans-serif"/>
          <w:b/>
          <w:color w:val="000000"/>
          <w:sz w:val="24"/>
        </w:rPr>
      </w:pPr>
      <w:r>
        <w:rPr>
          <w:rFonts w:ascii="Helvetica;sans-serif" w:hAnsi="Helvetica;sans-serif"/>
          <w:b/>
          <w:color w:val="000000"/>
          <w:sz w:val="24"/>
        </w:rPr>
        <w:t>PART I: FINANCIAL INFORMATION</w:t>
      </w:r>
    </w:p>
    <w:p>
      <w:pPr>
        <w:pStyle w:val="TextBody"/>
        <w:bidi w:val="0"/>
        <w:spacing w:lineRule="auto" w:line="288" w:before="60" w:after="120"/>
        <w:jc w:val="left"/>
        <w:rPr>
          <w:rFonts w:ascii="Helvetica;sans-serif" w:hAnsi="Helvetica;sans-serif"/>
          <w:b/>
          <w:color w:val="000000"/>
          <w:sz w:val="24"/>
        </w:rPr>
      </w:pPr>
      <w:r>
        <w:rPr>
          <w:rFonts w:ascii="Helvetica;sans-serif" w:hAnsi="Helvetica;sans-serif"/>
          <w:b/>
          <w:color w:val="000000"/>
          <w:sz w:val="24"/>
        </w:rPr>
        <w:t>ITEM 1: FINANCIAL STATEMENTS</w:t>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Income</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71"/>
        <w:gridCol w:w="1508"/>
        <w:gridCol w:w="152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36"/>
        <w:gridCol w:w="155"/>
      </w:tblGrid>
      <w:tr>
        <w:trPr/>
        <w:tc>
          <w:tcPr>
            <w:tcW w:w="1971"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r>
      <w:tr>
        <w:trPr/>
        <w:tc>
          <w:tcPr>
            <w:tcW w:w="4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data)</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4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production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promotion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49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49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other income (loss),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Comcast Corporation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17,830</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Basic earnings per common share attributable to Comcast Corporation shareholders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0.97</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0.91</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2.56</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w:t>
            </w:r>
            <w:r>
              <w:rPr>
                <w:color w:val="000000"/>
              </w:rPr>
              <w:t> </w:t>
            </w:r>
          </w:p>
        </w:tc>
        <w:tc>
          <w:tcPr>
            <w:tcW w:w="1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Diluted earnings per common share attributable to Comcast Corporation shareholders</w:t>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0.97</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0.90</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w:t>
            </w:r>
            <w:r>
              <w:rPr>
                <w:color w:val="000000"/>
              </w:rPr>
              <w:t>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4.78</w:t>
            </w:r>
            <w:r>
              <w:rPr>
                <w:color w:val="000000"/>
              </w:rPr>
              <w:t> </w:t>
            </w:r>
          </w:p>
        </w:tc>
        <w:tc>
          <w:tcPr>
            <w:tcW w:w="155"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rFonts w:ascii="Times New Roman;serif" w:hAnsi="Times New Roman;serif"/>
          <w:b w:val="false"/>
          <w:color w:val="000000"/>
          <w:sz w:val="16"/>
        </w:rPr>
      </w:pPr>
      <w:r>
        <w:rPr>
          <w:rFonts w:ascii="Times New Roman;serif" w:hAnsi="Times New Roman;serif"/>
          <w:b w:val="false"/>
          <w:color w:val="000000"/>
          <w:sz w:val="16"/>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6" name="Frame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Comprehensive Income</w:t>
      </w:r>
    </w:p>
    <w:p>
      <w:pPr>
        <w:pStyle w:val="TextBody"/>
        <w:bidi w:val="0"/>
        <w:spacing w:lineRule="auto" w:line="288" w:before="0" w:after="0"/>
        <w:jc w:val="center"/>
        <w:rPr/>
      </w:pPr>
      <w:r>
        <w:rPr>
          <w:rFonts w:ascii="Helvetica;sans-serif" w:hAnsi="Helvetica;sans-serif"/>
          <w:b/>
          <w:color w:val="000000"/>
          <w:sz w:val="20"/>
        </w:rPr>
        <w:t>(Unaudited)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2045"/>
        <w:gridCol w:w="1627"/>
        <w:gridCol w:w="1596"/>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736"/>
        <w:gridCol w:w="156"/>
      </w:tblGrid>
      <w:tr>
        <w:trPr/>
        <w:tc>
          <w:tcPr>
            <w:tcW w:w="2045"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r>
      <w:tr>
        <w:trPr/>
        <w:tc>
          <w:tcPr>
            <w:tcW w:w="5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52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 (expense) benefit:</w:t>
            </w:r>
          </w:p>
        </w:tc>
      </w:tr>
      <w:tr>
        <w:trPr/>
        <w:tc>
          <w:tcPr>
            <w:tcW w:w="52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 net of deferred taxes of $4, $4, $(42), and $202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gains (losses), net of deferred taxes of $(1), $3, $(5), and $(12)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Realized (gains) losses reclassified to net income, net of deferred taxes of $1, $(6), $(4), and $13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Employee benefit obligations and other, net of deferred taxes of $3, $10, $4, and $30</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8"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Comcast Corporation</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8,587</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19,783</w:t>
            </w:r>
            <w:r>
              <w:rPr>
                <w:color w:val="000000"/>
              </w:rPr>
              <w:t> </w:t>
            </w:r>
          </w:p>
        </w:tc>
        <w:tc>
          <w:tcPr>
            <w:tcW w:w="1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rFonts w:ascii="Times New Roman;serif" w:hAnsi="Times New Roman;serif"/>
          <w:b w:val="false"/>
          <w:color w:val="000000"/>
          <w:sz w:val="16"/>
        </w:rPr>
      </w:pPr>
      <w:r>
        <w:rPr>
          <w:rFonts w:ascii="Times New Roman;serif" w:hAnsi="Times New Roman;serif"/>
          <w:b w:val="false"/>
          <w:color w:val="000000"/>
          <w:sz w:val="16"/>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7" name="Frame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Cash Flows</w:t>
      </w:r>
    </w:p>
    <w:p>
      <w:pPr>
        <w:pStyle w:val="TextBody"/>
        <w:bidi w:val="0"/>
        <w:spacing w:lineRule="auto" w:line="288" w:before="0" w:after="0"/>
        <w:jc w:val="center"/>
        <w:rPr/>
      </w:pPr>
      <w:r>
        <w:rPr>
          <w:rFonts w:ascii="Helvetica;sans-serif" w:hAnsi="Helvetica;sans-serif"/>
          <w:b/>
          <w:color w:val="000000"/>
          <w:sz w:val="20"/>
        </w:rPr>
        <w:t>(Unaudited)</w:t>
      </w:r>
      <w:r>
        <w:rPr>
          <w:color w:val="000000"/>
        </w:rPr>
        <w:t> </w:t>
      </w:r>
    </w:p>
    <w:tbl>
      <w:tblPr>
        <w:tblW w:w="9668" w:type="dxa"/>
        <w:jc w:val="left"/>
        <w:tblInd w:w="0" w:type="dxa"/>
        <w:tblLayout w:type="fixed"/>
        <w:tblCellMar>
          <w:top w:w="28" w:type="dxa"/>
          <w:left w:w="28" w:type="dxa"/>
          <w:bottom w:w="28" w:type="dxa"/>
          <w:right w:w="28" w:type="dxa"/>
        </w:tblCellMar>
      </w:tblPr>
      <w:tblGrid>
        <w:gridCol w:w="2645"/>
        <w:gridCol w:w="2322"/>
        <w:gridCol w:w="2337"/>
        <w:gridCol w:w="211"/>
        <w:gridCol w:w="631"/>
        <w:gridCol w:w="109"/>
        <w:gridCol w:w="109"/>
        <w:gridCol w:w="109"/>
        <w:gridCol w:w="109"/>
        <w:gridCol w:w="211"/>
        <w:gridCol w:w="721"/>
        <w:gridCol w:w="154"/>
      </w:tblGrid>
      <w:tr>
        <w:trPr/>
        <w:tc>
          <w:tcPr>
            <w:tcW w:w="2645"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r>
      <w:tr>
        <w:trPr/>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7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Operating Activities </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(income),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investment activity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acquisitions and divestitures: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and noncurrent receivables,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Film and television costs,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 related to trade creditors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assets and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24,802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of Universal Beijing Resort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businesses and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(11,720)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and repayments of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under repurchase program and employee plans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transferred to Versant,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(15,525)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on cash, cash equivalents and restricted cash</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end of period</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9,371</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rFonts w:ascii="Times New Roman;serif" w:hAnsi="Times New Roman;serif"/>
          <w:b w:val="false"/>
          <w:color w:val="000000"/>
          <w:sz w:val="16"/>
        </w:rPr>
      </w:pPr>
      <w:r>
        <w:rPr>
          <w:rFonts w:ascii="Times New Roman;serif" w:hAnsi="Times New Roman;serif"/>
          <w:b w:val="false"/>
          <w:color w:val="000000"/>
          <w:sz w:val="16"/>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8" name="Frame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 xml:space="preserve">Condensed Consolidated Balance Sheets </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29"/>
        <w:gridCol w:w="2279"/>
        <w:gridCol w:w="2302"/>
        <w:gridCol w:w="211"/>
        <w:gridCol w:w="841"/>
        <w:gridCol w:w="109"/>
        <w:gridCol w:w="109"/>
        <w:gridCol w:w="109"/>
        <w:gridCol w:w="109"/>
        <w:gridCol w:w="211"/>
        <w:gridCol w:w="841"/>
        <w:gridCol w:w="155"/>
      </w:tblGrid>
      <w:tr>
        <w:trPr/>
        <w:tc>
          <w:tcPr>
            <w:tcW w:w="292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share data)</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7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Film and television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 of $62,721 and $60,754</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Franchise rights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intangible assets, net of accumulated amortization of $32,732 and $39,362</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257,769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272,631</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1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 Liabilities: </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 related to trade creditors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 of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Noncurrent portion of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stock—authorized, 20,000,000 shares; issued, zero</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$0.01 par value—authorized, 7,500,000,000 shares: issued, 4,458,721,412 and 4,513,794,607; outstanding, 3,539,695,057 and 3,594,768,252</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$0.01 par value—authorized, 75,000,000 shares; issued and outstanding, 9,444,375</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919,026,355 Class A common shares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Comcast Corporation shareholders’ equity</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1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257,769</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272,631</w:t>
            </w:r>
            <w:r>
              <w:rPr>
                <w:color w:val="000000"/>
              </w:rPr>
              <w:t> </w:t>
            </w:r>
          </w:p>
        </w:tc>
        <w:tc>
          <w:tcPr>
            <w:tcW w:w="1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rFonts w:ascii="Times New Roman;serif" w:hAnsi="Times New Roman;serif"/>
          <w:b w:val="false"/>
          <w:color w:val="000000"/>
          <w:sz w:val="16"/>
        </w:rPr>
      </w:pPr>
      <w:r>
        <w:rPr>
          <w:rFonts w:ascii="Times New Roman;serif" w:hAnsi="Times New Roman;serif"/>
          <w:b w:val="false"/>
          <w:color w:val="000000"/>
          <w:sz w:val="16"/>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785"/>
                <wp:effectExtent l="0" t="0" r="0" b="0"/>
                <wp:wrapNone/>
                <wp:docPr id="9" name="Frame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Changes in Equity</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97"/>
        <w:gridCol w:w="1751"/>
        <w:gridCol w:w="1760"/>
        <w:gridCol w:w="211"/>
        <w:gridCol w:w="736"/>
        <w:gridCol w:w="109"/>
        <w:gridCol w:w="211"/>
        <w:gridCol w:w="736"/>
        <w:gridCol w:w="109"/>
        <w:gridCol w:w="109"/>
        <w:gridCol w:w="109"/>
        <w:gridCol w:w="109"/>
        <w:gridCol w:w="211"/>
        <w:gridCol w:w="736"/>
        <w:gridCol w:w="109"/>
        <w:gridCol w:w="211"/>
        <w:gridCol w:w="736"/>
        <w:gridCol w:w="155"/>
      </w:tblGrid>
      <w:tr>
        <w:trPr/>
        <w:tc>
          <w:tcPr>
            <w:tcW w:w="2097"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r>
      <w:tr>
        <w:trPr/>
        <w:tc>
          <w:tcPr>
            <w:tcW w:w="5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data)</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56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Redeemable Noncontrolling Interests </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Contributions from (distributions to) noncontrolling interests,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 A Common Stock</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under repurchase program and employee plans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56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Class B Common Stock</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beginning and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Additional Paid-In Capital</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under repurchase program and employee plans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common stock under employee plans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38,027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38,027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37,768</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Retained Earnings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under repurchase program and employee plans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Versant Separation (see Note 6)</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17,830</w:t>
            </w:r>
          </w:p>
        </w:tc>
      </w:tr>
      <w:tr>
        <w:trPr/>
        <w:tc>
          <w:tcPr>
            <w:tcW w:w="56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62,544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66,875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62,544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66,875</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Treasury Stock at Cost</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beginning and end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56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Other Comprehensive Income (Loss)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Noncontrolling Interests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(distributions to) noncontrolling interests,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Versant Separation (see Note 6)</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92,497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97,416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92,497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97,416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8"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608"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dividends declared per common share</w:t>
            </w:r>
          </w:p>
        </w:tc>
        <w:tc>
          <w:tcPr>
            <w:tcW w:w="211" w:type="dxa"/>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0.33</w:t>
            </w:r>
            <w:r>
              <w:rPr>
                <w:color w:val="000000"/>
              </w:rPr>
              <w:t> </w:t>
            </w:r>
          </w:p>
        </w:tc>
        <w:tc>
          <w:tcPr>
            <w:tcW w:w="109" w:type="dxa"/>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0.33</w:t>
            </w:r>
            <w:r>
              <w:rPr>
                <w:color w:val="000000"/>
              </w:rPr>
              <w:t> </w:t>
            </w:r>
          </w:p>
        </w:tc>
        <w:tc>
          <w:tcPr>
            <w:tcW w:w="109" w:type="dxa"/>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0.99</w:t>
            </w:r>
            <w:r>
              <w:rPr>
                <w:color w:val="000000"/>
              </w:rPr>
              <w:t> </w:t>
            </w:r>
          </w:p>
        </w:tc>
        <w:tc>
          <w:tcPr>
            <w:tcW w:w="109" w:type="dxa"/>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0.99</w:t>
            </w:r>
            <w:r>
              <w:rPr>
                <w:color w:val="000000"/>
              </w:rPr>
              <w:t> </w:t>
            </w:r>
          </w:p>
        </w:tc>
        <w:tc>
          <w:tcPr>
            <w:tcW w:w="155" w:type="dxa"/>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both"/>
        <w:rPr>
          <w:rFonts w:ascii="Times New Roman;serif" w:hAnsi="Times New Roman;serif"/>
          <w:b w:val="false"/>
          <w:color w:val="000000"/>
          <w:sz w:val="16"/>
        </w:rPr>
      </w:pPr>
      <w:r>
        <w:rPr>
          <w:rFonts w:ascii="Times New Roman;serif" w:hAnsi="Times New Roman;serif"/>
          <w:b w:val="false"/>
          <w:color w:val="000000"/>
          <w:sz w:val="16"/>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785"/>
                <wp:effectExtent l="0" t="0" r="0" b="0"/>
                <wp:wrapNone/>
                <wp:docPr id="10" name="Frame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bidi w:val="0"/>
        <w:spacing w:lineRule="auto" w:line="288" w:before="210" w:after="283"/>
        <w:jc w:val="left"/>
        <w:rPr>
          <w:rFonts w:ascii="Helvetica;sans-serif" w:hAnsi="Helvetica;sans-serif"/>
          <w:b/>
          <w:color w:val="000000"/>
          <w:sz w:val="24"/>
        </w:rPr>
      </w:pPr>
      <w:r>
        <w:rPr>
          <w:rFonts w:ascii="Helvetica;sans-serif" w:hAnsi="Helvetica;sans-serif"/>
          <w:b/>
          <w:color w:val="000000"/>
          <w:sz w:val="24"/>
        </w:rPr>
        <w:t>NOTES TO CONDENSED CONSOLIDATED FINANCIAL STATEMENTS</w:t>
      </w:r>
    </w:p>
    <w:p>
      <w:pPr>
        <w:pStyle w:val="TextBody"/>
        <w:bidi w:val="0"/>
        <w:spacing w:lineRule="auto" w:line="288" w:before="0" w:after="0"/>
        <w:jc w:val="left"/>
        <w:rPr>
          <w:rFonts w:ascii="Helvetica;sans-serif" w:hAnsi="Helvetica;sans-serif"/>
          <w:b/>
          <w:color w:val="000000"/>
          <w:sz w:val="24"/>
        </w:rPr>
      </w:pPr>
      <w:r>
        <w:rPr>
          <w:rFonts w:ascii="Helvetica;sans-serif" w:hAnsi="Helvetica;sans-serif"/>
          <w:b/>
          <w:color w:val="000000"/>
          <w:sz w:val="24"/>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10" w:after="283"/>
        <w:jc w:val="left"/>
        <w:rPr>
          <w:rFonts w:ascii="Helvetica;sans-serif" w:hAnsi="Helvetica;sans-serif"/>
          <w:b/>
          <w:color w:val="000000"/>
          <w:sz w:val="24"/>
        </w:rPr>
      </w:pPr>
      <w:r>
        <w:rPr>
          <w:rFonts w:ascii="Helvetica;sans-serif" w:hAnsi="Helvetica;sans-serif"/>
          <w:b/>
          <w:color w:val="000000"/>
          <w:sz w:val="24"/>
        </w:rPr>
        <w:t>Note 1: Condensed Consolidated Financial Statements</w:t>
      </w:r>
    </w:p>
    <w:p>
      <w:pPr>
        <w:pStyle w:val="TextBody"/>
        <w:bidi w:val="0"/>
        <w:spacing w:lineRule="auto" w:line="288" w:before="136" w:after="283"/>
        <w:jc w:val="left"/>
        <w:rPr>
          <w:rFonts w:ascii="Helvetica;sans-serif" w:hAnsi="Helvetica;sans-serif"/>
          <w:b/>
          <w:color w:val="000000"/>
          <w:sz w:val="20"/>
        </w:rPr>
      </w:pPr>
      <w:r>
        <w:rPr>
          <w:rFonts w:ascii="Helvetica;sans-serif" w:hAnsi="Helvetica;sans-serif"/>
          <w:b/>
          <w:color w:val="000000"/>
          <w:sz w:val="20"/>
        </w:rPr>
        <w:t>Basis of Presentation</w:t>
      </w:r>
    </w:p>
    <w:p>
      <w:pPr>
        <w:pStyle w:val="TextBody"/>
        <w:bidi w:val="0"/>
        <w:spacing w:lineRule="auto" w:line="288" w:before="76" w:after="283"/>
        <w:jc w:val="both"/>
        <w:rPr>
          <w:rFonts w:ascii="Times New Roman;serif" w:hAnsi="Times New Roman;serif"/>
          <w:b w:val="false"/>
          <w:color w:val="000000"/>
          <w:sz w:val="20"/>
        </w:rPr>
      </w:pPr>
      <w:r>
        <w:rPr>
          <w:rFonts w:ascii="Times New Roman;serif" w:hAnsi="Times New Roman;serif"/>
          <w:b w:val="false"/>
          <w:color w:val="000000"/>
          <w:sz w:val="20"/>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2025 Annual Report on Form 10-K.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June 2026, we announced our intention to separate into two independent publicly traded companies through a tax-free spin-off of NBCUniversal and Sky (the “NBCUniversal Spin-off”) comprised primarily of the Media, Studios and Theme Parks segments and the Sky businesses within our Residential Connectivity &amp; Platforms and Business Services Connectivity segments. The NBCUniversal Spin-off is expected to be completed in mid-2027, subject to the satisfaction of customary conditions, including obtaining final approval from our Board of Directors, receipt of tax opinions and regulatory approvals, and completion of financing arrangements. We expect to retain an ownership interest of up to 19.9% in the NBCUniversal Spin-off entities for up to one year after the completion of the spin-off, which we intend to monetize in a tax-efficient manner over time. There can be no assurance that a separation transaction will occur, or, if one does occur, of its terms or timing. The condensed consolidated financial statements and related notes do not reflect the proposed NBCUniversal Spin-off.</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31, 2026, we completed the previously announced sale of our Sky operations in Germany. The sale did not meet the criteria to be presented as a discontinued operation, and the results of our Sky operations in Germany are included in our consolidated results of operations through the date of sale. See Note 6 for additional information.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On January 2, 2026 (the “Versant Separation Date”), we completed the previously announced separation of Versant Media Group, Inc. (“Versant”) into an independent publicly traded company comprised of select cable television networks and complementary digital platforms through a tax-free spin-off (the “Versant Separation”). The Versant Separation did not meet the criteria to be presented as a discontinued operation, and Versant’s results are included in our results of operations for the three and nine months ended September 30, 2025. See Note 6 for additional information.</w:t>
      </w:r>
    </w:p>
    <w:p>
      <w:pPr>
        <w:pStyle w:val="TextBody"/>
        <w:bidi w:val="0"/>
        <w:spacing w:lineRule="auto" w:line="288" w:before="136" w:after="283"/>
        <w:jc w:val="left"/>
        <w:rPr>
          <w:rFonts w:ascii="Helvetica;sans-serif" w:hAnsi="Helvetica;sans-serif"/>
          <w:b/>
          <w:color w:val="000000"/>
          <w:sz w:val="20"/>
        </w:rPr>
      </w:pPr>
      <w:r>
        <w:rPr>
          <w:rFonts w:ascii="Helvetica;sans-serif" w:hAnsi="Helvetica;sans-serif"/>
          <w:b/>
          <w:color w:val="000000"/>
          <w:sz w:val="20"/>
        </w:rPr>
        <w:t>Reclassifications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reclassified to conform to the current period presentation. See Note 2 for a discussion of the changes in our presentation of segment operating results. See Note 3 for a discussion of the changes in our presentation of disaggregated revenue.</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Recent Accounting Pronouncements</w:t>
      </w:r>
    </w:p>
    <w:p>
      <w:pPr>
        <w:pStyle w:val="TextBody"/>
        <w:bidi w:val="0"/>
        <w:spacing w:lineRule="auto" w:line="288" w:before="60" w:after="60"/>
        <w:jc w:val="both"/>
        <w:rPr>
          <w:rFonts w:ascii="Helvetica;sans-serif" w:hAnsi="Helvetica;sans-serif"/>
          <w:b/>
          <w:i/>
          <w:color w:val="000000"/>
          <w:sz w:val="20"/>
        </w:rPr>
      </w:pPr>
      <w:r>
        <w:rPr>
          <w:rFonts w:ascii="Helvetica;sans-serif" w:hAnsi="Helvetica;sans-serif"/>
          <w:b/>
          <w:i/>
          <w:color w:val="000000"/>
          <w:sz w:val="20"/>
        </w:rPr>
        <w:t>Disaggregation of Income Statement Expenses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(“FASB”) issued updated accounting guidance related to disclosures about certain costs and expenses. The updated accounting guidance, among other things, requires quantitative disclosures for employee compensation, selling expenses and purchases of inventory. The updated guidance is effective for us beginning with our Annual Report on Form 10-K for the year ending December 31, 2027. We are currently evaluating the impact the adoption of the new accounting guidance will have on our disclosures.</w:t>
      </w:r>
    </w:p>
    <w:p>
      <w:pPr>
        <w:pStyle w:val="TextBody"/>
        <w:bidi w:val="0"/>
        <w:spacing w:lineRule="auto" w:line="288" w:before="60" w:after="60"/>
        <w:jc w:val="both"/>
        <w:rPr>
          <w:rFonts w:ascii="Helvetica;sans-serif" w:hAnsi="Helvetica;sans-serif"/>
          <w:b/>
          <w:i/>
          <w:color w:val="000000"/>
          <w:sz w:val="20"/>
        </w:rPr>
      </w:pPr>
      <w:r>
        <w:rPr>
          <w:rFonts w:ascii="Helvetica;sans-serif" w:hAnsi="Helvetica;sans-serif"/>
          <w:b/>
          <w:i/>
          <w:color w:val="000000"/>
          <w:sz w:val="20"/>
        </w:rPr>
        <w:t>Internal-Use Software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updated the accounting guidance related to internal-use software. The updated guidance eliminates references to software project stages and clarifies that capitalization of internal-use software costs should begin once management authorizes and commits to funding a software project and it is probable that the project will be completed and used as intended. The updated guidance is effective for us as of January 1, 2028, and early adoption is permitted. We are currently in the process of determining the impact that the updated accounting guidance will have on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785"/>
                <wp:effectExtent l="0" t="0" r="0" b="0"/>
                <wp:wrapNone/>
                <wp:docPr id="11" name="Frame1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bidi w:val="0"/>
        <w:spacing w:lineRule="auto" w:line="288" w:before="60" w:after="60"/>
        <w:jc w:val="both"/>
        <w:rPr>
          <w:rFonts w:ascii="Helvetica;sans-serif" w:hAnsi="Helvetica;sans-serif"/>
          <w:b/>
          <w:i/>
          <w:color w:val="000000"/>
          <w:sz w:val="20"/>
        </w:rPr>
      </w:pPr>
      <w:r>
        <w:rPr>
          <w:rFonts w:ascii="Helvetica;sans-serif" w:hAnsi="Helvetica;sans-serif"/>
          <w:b/>
          <w:i/>
          <w:color w:val="000000"/>
          <w:sz w:val="20"/>
        </w:rPr>
        <w:t>Government Grants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new accounting guidance on the recognition, measurement and presentation of government grants received by business entities. The new guidance defines government grants, clarifies their scope and provides a recognition threshold under which a grant is recognized when it is probable the entity will comply with the grant’s conditions and that the grant will be received. The updated guidance is effective for us as of January 1, 2029, and early adoption is permitted. We are currently in the process of determining the impact that the updated accounting guidance will have on our consolidated financial statements.</w:t>
      </w:r>
    </w:p>
    <w:p>
      <w:pPr>
        <w:pStyle w:val="TextBody"/>
        <w:bidi w:val="0"/>
        <w:spacing w:lineRule="auto" w:line="288" w:before="60" w:after="60"/>
        <w:jc w:val="both"/>
        <w:rPr>
          <w:rFonts w:ascii="Helvetica;sans-serif" w:hAnsi="Helvetica;sans-serif"/>
          <w:b/>
          <w:i/>
          <w:color w:val="000000"/>
          <w:sz w:val="20"/>
        </w:rPr>
      </w:pPr>
      <w:r>
        <w:rPr>
          <w:rFonts w:ascii="Helvetica;sans-serif" w:hAnsi="Helvetica;sans-serif"/>
          <w:b/>
          <w:i/>
          <w:color w:val="000000"/>
          <w:sz w:val="20"/>
        </w:rPr>
        <w:t>Interim Reporting</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updated accounting guidance on interim reporting. The updated guidance establishes a principle requiring entities to disclose events occurring after the end of the most recent annual reporting period that have a material impact on the entity, as well as clarifies the applicability of interim disclosure requirements. The guidance does not change the fundamental nature of interim reporting or expand or reduce current interim disclosure requirements. The guidance is effective for us as of January 1, 2028, with early adoption permitted. We are currently evaluating the impact the adoption of the new accounting guidance will have on our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 w:after="120"/>
        <w:jc w:val="left"/>
        <w:rPr>
          <w:rFonts w:ascii="Helvetica;sans-serif" w:hAnsi="Helvetica;sans-serif"/>
          <w:b/>
          <w:color w:val="000000"/>
          <w:sz w:val="24"/>
        </w:rPr>
      </w:pPr>
      <w:r>
        <w:rPr>
          <w:rFonts w:ascii="Helvetica;sans-serif" w:hAnsi="Helvetica;sans-serif"/>
          <w:b/>
          <w:color w:val="000000"/>
          <w:sz w:val="24"/>
        </w:rPr>
        <w:t>Note 2: Segment Information</w:t>
      </w:r>
    </w:p>
    <w:p>
      <w:pPr>
        <w:pStyle w:val="TextBody"/>
        <w:bidi w:val="0"/>
        <w:spacing w:lineRule="auto" w:line="288" w:before="76" w:after="120"/>
        <w:jc w:val="both"/>
        <w:rPr>
          <w:rFonts w:ascii="Times New Roman;serif" w:hAnsi="Times New Roman;serif"/>
          <w:b w:val="false"/>
          <w:color w:val="000000"/>
          <w:sz w:val="20"/>
        </w:rPr>
      </w:pPr>
      <w:r>
        <w:rPr>
          <w:rFonts w:ascii="Times New Roman;serif" w:hAnsi="Times New Roman;serif"/>
          <w:b w:val="false"/>
          <w:color w:val="000000"/>
          <w:sz w:val="20"/>
        </w:rPr>
        <w:t>We are a global media and technology company with five segments: Residential Connectivity &amp; Platforms, Business Services Connectivity, Media, Studios and Theme Parks. Beginning in the first quarter of 2026, we updated the composition of our segments to align with the segment-level information that is regularly provided to our Co-Chief Executive Officers, who are the chief operating decision maker, including (1) adjusting the Media segment to exclude the historical results of Versant; (2) reclassifying the results of our regional sports networks to Corporate and other from the Media segment; (3) reclassifying the results of Xumo, our streaming platform joint venture with Charter Communications, to the Residential Connectivity &amp; Platforms segment from Corporate and other; (4) reclassifying certain shared expenses into the related Media, Studios and Theme Parks segments from Media, Studios and Theme Parks headquarters and other; and (5) adjusting the Media segment and Versant for the effects of the commercial services agreement (see Note 6).</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segments generally report transactions with one another as if they were stand-alone businesses in accordance with GAAP, and these transactions are eliminated in consolidation. When multiple segments enter into transactions to provide products and services to third parties, revenue is generally allocated to our segments based on relative value. Transactions between our segments and other businesses generally include intercompany profit consistent with third-party transactions. The Residential Connectivity &amp; Platforms and the Business Services Connectivity segments use certain shared infrastructure, including our network in the United States, and each segment is presented with its direct costs and an allocation of shared costs, as well as revenue from its customers.</w:t>
      </w:r>
    </w:p>
    <w:p>
      <w:pPr>
        <w:pStyle w:val="TextBody"/>
        <w:bidi w:val="0"/>
        <w:spacing w:before="76"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785"/>
                <wp:effectExtent l="0" t="0" r="0" b="0"/>
                <wp:wrapNone/>
                <wp:docPr id="12" name="Frame1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bidi w:val="0"/>
        <w:spacing w:lineRule="auto" w:line="288" w:before="76" w:after="283"/>
        <w:jc w:val="both"/>
        <w:rPr>
          <w:rFonts w:ascii="Times New Roman;serif" w:hAnsi="Times New Roman;serif"/>
          <w:b w:val="false"/>
          <w:color w:val="000000"/>
          <w:sz w:val="20"/>
        </w:rPr>
      </w:pPr>
      <w:r>
        <w:rPr>
          <w:rFonts w:ascii="Times New Roman;serif" w:hAnsi="Times New Roman;serif"/>
          <w:b w:val="false"/>
          <w:color w:val="000000"/>
          <w:sz w:val="20"/>
        </w:rPr>
        <w:t>Our financial data by segment is presented in the tables below and has been updated to reflect the change in our segment composition. We do not present asset information for our segments as this information is not used to allocate resources.</w:t>
      </w:r>
    </w:p>
    <w:tbl>
      <w:tblPr>
        <w:tblW w:w="10205" w:type="dxa"/>
        <w:jc w:val="left"/>
        <w:tblInd w:w="0" w:type="dxa"/>
        <w:tblLayout w:type="fixed"/>
        <w:tblCellMar>
          <w:top w:w="28" w:type="dxa"/>
          <w:left w:w="28" w:type="dxa"/>
          <w:bottom w:w="28" w:type="dxa"/>
          <w:right w:w="28" w:type="dxa"/>
        </w:tblCellMar>
      </w:tblPr>
      <w:tblGrid>
        <w:gridCol w:w="1020"/>
        <w:gridCol w:w="754"/>
        <w:gridCol w:w="739"/>
        <w:gridCol w:w="409"/>
        <w:gridCol w:w="1397"/>
        <w:gridCol w:w="211"/>
        <w:gridCol w:w="391"/>
        <w:gridCol w:w="1143"/>
        <w:gridCol w:w="203"/>
        <w:gridCol w:w="211"/>
        <w:gridCol w:w="616"/>
        <w:gridCol w:w="109"/>
        <w:gridCol w:w="211"/>
        <w:gridCol w:w="616"/>
        <w:gridCol w:w="109"/>
        <w:gridCol w:w="220"/>
        <w:gridCol w:w="643"/>
        <w:gridCol w:w="113"/>
        <w:gridCol w:w="211"/>
        <w:gridCol w:w="721"/>
        <w:gridCol w:w="158"/>
      </w:tblGrid>
      <w:tr>
        <w:trPr/>
        <w:tc>
          <w:tcPr>
            <w:tcW w:w="10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September 30, 2026</w:t>
            </w:r>
          </w:p>
        </w:tc>
      </w:tr>
      <w:tr>
        <w:trPr/>
        <w:tc>
          <w:tcPr>
            <w:tcW w:w="2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Residential Connectivity &amp; Platforms</w:t>
            </w:r>
          </w:p>
        </w:tc>
        <w:tc>
          <w:tcPr>
            <w:tcW w:w="1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val="false"/>
                <w:color w:val="000000"/>
                <w:sz w:val="16"/>
              </w:rPr>
            </w:pPr>
            <w:r>
              <w:rPr>
                <w:rFonts w:ascii="Times New Roman;serif" w:hAnsi="Times New Roman;serif"/>
                <w:b w:val="false"/>
                <w:color w:val="000000"/>
                <w:sz w:val="16"/>
              </w:rPr>
              <w:t>Business Services Connectivity</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Media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val="false"/>
                <w:color w:val="000000"/>
                <w:sz w:val="16"/>
              </w:rPr>
            </w:pPr>
            <w:r>
              <w:rPr>
                <w:rFonts w:ascii="Times New Roman;serif" w:hAnsi="Times New Roman;serif"/>
                <w:b w:val="false"/>
                <w:color w:val="000000"/>
                <w:sz w:val="16"/>
              </w:rPr>
              <w:t>Studios</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val="false"/>
                <w:color w:val="000000"/>
                <w:sz w:val="16"/>
              </w:rPr>
            </w:pPr>
            <w:r>
              <w:rPr>
                <w:rFonts w:ascii="Times New Roman;serif" w:hAnsi="Times New Roman;serif"/>
                <w:b w:val="false"/>
                <w:color w:val="000000"/>
                <w:sz w:val="16"/>
              </w:rPr>
              <w:t>Theme Parks</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Intersegment revenue</w:t>
            </w:r>
            <w:r>
              <w:rPr>
                <w:rFonts w:ascii="Times New Roman;serif" w:hAnsi="Times New Roman;serif"/>
                <w:b w:val="false"/>
                <w:color w:val="000000"/>
                <w:sz w:val="13"/>
              </w:rPr>
              <w:t>(a)</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revenue</w:t>
            </w:r>
            <w:r>
              <w:rPr>
                <w:rFonts w:ascii="Times New Roman;serif" w:hAnsi="Times New Roman;serif"/>
                <w:b w:val="false"/>
                <w:color w:val="000000"/>
                <w:sz w:val="13"/>
              </w:rPr>
              <w:t>(b)</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Eliminations</w:t>
            </w:r>
            <w:r>
              <w:rPr>
                <w:rFonts w:ascii="Times New Roman;serif" w:hAnsi="Times New Roman;serif"/>
                <w:b w:val="false"/>
                <w:color w:val="000000"/>
                <w:sz w:val="13"/>
              </w:rPr>
              <w:t>(a)</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2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segment expenses:</w:t>
            </w:r>
            <w:r>
              <w:rPr>
                <w:rFonts w:ascii="Times New Roman;serif" w:hAnsi="Times New Roman;serif"/>
                <w:b w:val="false"/>
                <w:color w:val="000000"/>
                <w:sz w:val="13"/>
              </w:rPr>
              <w:t>(c)</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production</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promotion</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(d)</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Adjusted EBITDA</w:t>
            </w:r>
            <w:r>
              <w:rPr>
                <w:rFonts w:ascii="Times New Roman;serif" w:hAnsi="Times New Roman;serif"/>
                <w:b w:val="false"/>
                <w:color w:val="000000"/>
                <w:sz w:val="13"/>
              </w:rPr>
              <w:t>(e)</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7" w:type="dxa"/>
            <w:gridSpan w:val="9"/>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i/>
                <w:color w:val="000000"/>
                <w:sz w:val="20"/>
              </w:rPr>
            </w:pPr>
            <w:r>
              <w:rPr>
                <w:rFonts w:ascii="Times New Roman;serif" w:hAnsi="Times New Roman;serif"/>
                <w:b w:val="false"/>
                <w:i/>
                <w:color w:val="000000"/>
                <w:sz w:val="20"/>
              </w:rPr>
              <w:t>Reconciliation of total segment Adjusted EBITDA</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Media, Studios and Theme Parks headquarters and other</w:t>
            </w:r>
            <w:r>
              <w:rPr>
                <w:rFonts w:ascii="Times New Roman;serif" w:hAnsi="Times New Roman;serif"/>
                <w:b w:val="false"/>
                <w:color w:val="000000"/>
                <w:sz w:val="13"/>
              </w:rPr>
              <w:t>(f)</w:t>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Corporate and other</w:t>
            </w:r>
            <w:r>
              <w:rPr>
                <w:rFonts w:ascii="Times New Roman;serif" w:hAnsi="Times New Roman;serif"/>
                <w:b w:val="false"/>
                <w:color w:val="000000"/>
                <w:sz w:val="13"/>
              </w:rPr>
              <w:t>(b)(e)</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other income (loss), net</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01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4605" cy="14605"/>
                <wp:effectExtent l="0" t="0" r="0" b="0"/>
                <wp:wrapNone/>
                <wp:docPr id="13" name="Frame1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tbl>
      <w:tblPr>
        <w:tblW w:w="10205" w:type="dxa"/>
        <w:jc w:val="left"/>
        <w:tblInd w:w="0" w:type="dxa"/>
        <w:tblLayout w:type="fixed"/>
        <w:tblCellMar>
          <w:top w:w="28" w:type="dxa"/>
          <w:left w:w="28" w:type="dxa"/>
          <w:bottom w:w="28" w:type="dxa"/>
          <w:right w:w="28" w:type="dxa"/>
        </w:tblCellMar>
      </w:tblPr>
      <w:tblGrid>
        <w:gridCol w:w="1020"/>
        <w:gridCol w:w="754"/>
        <w:gridCol w:w="739"/>
        <w:gridCol w:w="409"/>
        <w:gridCol w:w="1397"/>
        <w:gridCol w:w="211"/>
        <w:gridCol w:w="391"/>
        <w:gridCol w:w="1143"/>
        <w:gridCol w:w="203"/>
        <w:gridCol w:w="211"/>
        <w:gridCol w:w="616"/>
        <w:gridCol w:w="109"/>
        <w:gridCol w:w="211"/>
        <w:gridCol w:w="616"/>
        <w:gridCol w:w="109"/>
        <w:gridCol w:w="220"/>
        <w:gridCol w:w="643"/>
        <w:gridCol w:w="113"/>
        <w:gridCol w:w="211"/>
        <w:gridCol w:w="721"/>
        <w:gridCol w:w="158"/>
      </w:tblGrid>
      <w:tr>
        <w:trPr/>
        <w:tc>
          <w:tcPr>
            <w:tcW w:w="10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September 30, 2025</w:t>
            </w:r>
          </w:p>
        </w:tc>
      </w:tr>
      <w:tr>
        <w:trPr/>
        <w:tc>
          <w:tcPr>
            <w:tcW w:w="2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Residential Connectivity &amp; Platforms</w:t>
            </w:r>
          </w:p>
        </w:tc>
        <w:tc>
          <w:tcPr>
            <w:tcW w:w="1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Business Services Connectivity</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Media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Studios</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Theme Parks</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Intersegment revenue</w:t>
            </w:r>
            <w:r>
              <w:rPr>
                <w:rFonts w:ascii="Times New Roman;serif" w:hAnsi="Times New Roman;serif"/>
                <w:b w:val="false"/>
                <w:color w:val="000000"/>
                <w:sz w:val="13"/>
              </w:rPr>
              <w:t>(a)</w:t>
            </w:r>
          </w:p>
        </w:tc>
        <w:tc>
          <w:tcPr>
            <w:tcW w:w="1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Versant revenue</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revenue</w:t>
            </w:r>
            <w:r>
              <w:rPr>
                <w:rFonts w:ascii="Times New Roman;serif" w:hAnsi="Times New Roman;serif"/>
                <w:b w:val="false"/>
                <w:color w:val="000000"/>
                <w:sz w:val="13"/>
              </w:rPr>
              <w:t>(b)</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Eliminations</w:t>
            </w:r>
            <w:r>
              <w:rPr>
                <w:rFonts w:ascii="Times New Roman;serif" w:hAnsi="Times New Roman;serif"/>
                <w:b w:val="false"/>
                <w:color w:val="000000"/>
                <w:sz w:val="13"/>
              </w:rPr>
              <w:t>(a)</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2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segment expenses:</w:t>
            </w:r>
            <w:r>
              <w:rPr>
                <w:rFonts w:ascii="Times New Roman;serif" w:hAnsi="Times New Roman;serif"/>
                <w:b w:val="false"/>
                <w:color w:val="000000"/>
                <w:sz w:val="13"/>
              </w:rPr>
              <w:t>(c)</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production</w:t>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promotion</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(d)</w:t>
            </w:r>
          </w:p>
        </w:tc>
        <w:tc>
          <w:tcPr>
            <w:tcW w:w="1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Adjusted EBITDA</w:t>
            </w:r>
            <w:r>
              <w:rPr>
                <w:rFonts w:ascii="Times New Roman;serif" w:hAnsi="Times New Roman;serif"/>
                <w:b w:val="false"/>
                <w:color w:val="000000"/>
                <w:sz w:val="13"/>
              </w:rPr>
              <w:t>(e)</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total segment Adjusted EBITDA</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Media, Studios and Theme Parks headquarters and other</w:t>
            </w:r>
            <w:r>
              <w:rPr>
                <w:rFonts w:ascii="Times New Roman;serif" w:hAnsi="Times New Roman;serif"/>
                <w:b w:val="false"/>
                <w:color w:val="000000"/>
                <w:sz w:val="13"/>
              </w:rPr>
              <w:t>(f)</w:t>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Versant</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Corporate and other</w:t>
            </w:r>
            <w:r>
              <w:rPr>
                <w:rFonts w:ascii="Times New Roman;serif" w:hAnsi="Times New Roman;serif"/>
                <w:b w:val="false"/>
                <w:color w:val="000000"/>
                <w:sz w:val="13"/>
              </w:rPr>
              <w:t>(b)(e)</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other income (loss), net</w:t>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01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11"/>
        <w:gridCol w:w="738"/>
        <w:gridCol w:w="722"/>
        <w:gridCol w:w="401"/>
        <w:gridCol w:w="1373"/>
        <w:gridCol w:w="207"/>
        <w:gridCol w:w="385"/>
        <w:gridCol w:w="1125"/>
        <w:gridCol w:w="199"/>
        <w:gridCol w:w="211"/>
        <w:gridCol w:w="721"/>
        <w:gridCol w:w="109"/>
        <w:gridCol w:w="211"/>
        <w:gridCol w:w="616"/>
        <w:gridCol w:w="109"/>
        <w:gridCol w:w="219"/>
        <w:gridCol w:w="642"/>
        <w:gridCol w:w="113"/>
        <w:gridCol w:w="211"/>
        <w:gridCol w:w="721"/>
        <w:gridCol w:w="161"/>
      </w:tblGrid>
      <w:tr>
        <w:trPr/>
        <w:tc>
          <w:tcPr>
            <w:tcW w:w="101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September 30, 2026</w:t>
            </w:r>
          </w:p>
        </w:tc>
      </w:tr>
      <w:tr>
        <w:trPr/>
        <w:tc>
          <w:tcPr>
            <w:tcW w:w="2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Residential Connectivity &amp; Platforms</w:t>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Business Services Connectivity</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Media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Studios</w:t>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Theme Parks</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88,864 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Intersegment revenue</w:t>
            </w:r>
            <w:r>
              <w:rPr>
                <w:rFonts w:ascii="Times New Roman;serif" w:hAnsi="Times New Roman;serif"/>
                <w:b w:val="false"/>
                <w:color w:val="000000"/>
                <w:sz w:val="13"/>
              </w:rPr>
              <w:t>(a)</w:t>
            </w:r>
          </w:p>
        </w:tc>
        <w:tc>
          <w:tcPr>
            <w:tcW w:w="1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94,523 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revenue</w:t>
            </w:r>
            <w:r>
              <w:rPr>
                <w:rFonts w:ascii="Times New Roman;serif" w:hAnsi="Times New Roman;serif"/>
                <w:b w:val="false"/>
                <w:color w:val="000000"/>
                <w:sz w:val="13"/>
              </w:rPr>
              <w:t>(b)</w:t>
            </w:r>
          </w:p>
        </w:tc>
        <w:tc>
          <w:tcPr>
            <w:tcW w:w="1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Eliminations</w:t>
            </w:r>
            <w:r>
              <w:rPr>
                <w:rFonts w:ascii="Times New Roman;serif" w:hAnsi="Times New Roman;serif"/>
                <w:b w:val="false"/>
                <w:color w:val="000000"/>
                <w:sz w:val="13"/>
              </w:rPr>
              <w:t>(a)</w:t>
            </w:r>
          </w:p>
        </w:tc>
        <w:tc>
          <w:tcPr>
            <w:tcW w:w="1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1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90,695 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segment expenses:</w:t>
            </w:r>
            <w:r>
              <w:rPr>
                <w:rFonts w:ascii="Times New Roman;serif" w:hAnsi="Times New Roman;serif"/>
                <w:b w:val="false"/>
                <w:color w:val="000000"/>
                <w:sz w:val="13"/>
              </w:rPr>
              <w:t>(c)</w:t>
            </w:r>
          </w:p>
        </w:tc>
        <w:tc>
          <w:tcPr>
            <w:tcW w:w="1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production</w:t>
            </w:r>
          </w:p>
        </w:tc>
        <w:tc>
          <w:tcPr>
            <w:tcW w:w="1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promotion</w:t>
            </w:r>
          </w:p>
        </w:tc>
        <w:tc>
          <w:tcPr>
            <w:tcW w:w="1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(d)</w:t>
            </w:r>
          </w:p>
        </w:tc>
        <w:tc>
          <w:tcPr>
            <w:tcW w:w="1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Adjusted EBITDA</w:t>
            </w:r>
            <w:r>
              <w:rPr>
                <w:rFonts w:ascii="Times New Roman;serif" w:hAnsi="Times New Roman;serif"/>
                <w:b w:val="false"/>
                <w:color w:val="000000"/>
                <w:sz w:val="13"/>
              </w:rPr>
              <w:t>(e)</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18,992 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6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total segment Adjusted EBITDA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Media, Studios and Theme Parks headquarters and other</w:t>
            </w:r>
            <w:r>
              <w:rPr>
                <w:rFonts w:ascii="Times New Roman;serif" w:hAnsi="Times New Roman;serif"/>
                <w:b w:val="false"/>
                <w:color w:val="000000"/>
                <w:sz w:val="13"/>
              </w:rPr>
              <w:t>(f)</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Corporate and other</w:t>
            </w:r>
            <w:r>
              <w:rPr>
                <w:rFonts w:ascii="Times New Roman;serif" w:hAnsi="Times New Roman;serif"/>
                <w:b w:val="false"/>
                <w:color w:val="000000"/>
                <w:sz w:val="13"/>
              </w:rPr>
              <w:t>(b)(e)</w:t>
            </w:r>
          </w:p>
        </w:tc>
        <w:tc>
          <w:tcPr>
            <w:tcW w:w="1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1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other income (loss), net</w:t>
            </w:r>
          </w:p>
        </w:tc>
        <w:tc>
          <w:tcPr>
            <w:tcW w:w="1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98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11,791 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785"/>
                <wp:effectExtent l="0" t="0" r="0" b="0"/>
                <wp:wrapNone/>
                <wp:docPr id="14" name="Frame1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tbl>
      <w:tblPr>
        <w:tblW w:w="10205" w:type="dxa"/>
        <w:jc w:val="left"/>
        <w:tblInd w:w="0" w:type="dxa"/>
        <w:tblLayout w:type="fixed"/>
        <w:tblCellMar>
          <w:top w:w="28" w:type="dxa"/>
          <w:left w:w="28" w:type="dxa"/>
          <w:bottom w:w="28" w:type="dxa"/>
          <w:right w:w="28" w:type="dxa"/>
        </w:tblCellMar>
      </w:tblPr>
      <w:tblGrid>
        <w:gridCol w:w="1011"/>
        <w:gridCol w:w="738"/>
        <w:gridCol w:w="722"/>
        <w:gridCol w:w="401"/>
        <w:gridCol w:w="1373"/>
        <w:gridCol w:w="207"/>
        <w:gridCol w:w="385"/>
        <w:gridCol w:w="1125"/>
        <w:gridCol w:w="199"/>
        <w:gridCol w:w="211"/>
        <w:gridCol w:w="721"/>
        <w:gridCol w:w="109"/>
        <w:gridCol w:w="211"/>
        <w:gridCol w:w="616"/>
        <w:gridCol w:w="109"/>
        <w:gridCol w:w="219"/>
        <w:gridCol w:w="642"/>
        <w:gridCol w:w="113"/>
        <w:gridCol w:w="211"/>
        <w:gridCol w:w="721"/>
        <w:gridCol w:w="161"/>
      </w:tblGrid>
      <w:tr>
        <w:trPr/>
        <w:tc>
          <w:tcPr>
            <w:tcW w:w="101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September 30, 2025</w:t>
            </w:r>
          </w:p>
        </w:tc>
      </w:tr>
      <w:tr>
        <w:trPr/>
        <w:tc>
          <w:tcPr>
            <w:tcW w:w="2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Residential Connectivity &amp; Platforms</w:t>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Business Services Connectivity</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Media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Studios</w:t>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Theme Parks</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53,068 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Intersegment revenue</w:t>
            </w:r>
            <w:r>
              <w:rPr>
                <w:rFonts w:ascii="Times New Roman;serif" w:hAnsi="Times New Roman;serif"/>
                <w:b w:val="false"/>
                <w:color w:val="000000"/>
                <w:sz w:val="13"/>
              </w:rPr>
              <w:t>(a)</w:t>
            </w:r>
          </w:p>
        </w:tc>
        <w:tc>
          <w:tcPr>
            <w:tcW w:w="1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89,802 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Versant revenue</w:t>
            </w:r>
          </w:p>
        </w:tc>
        <w:tc>
          <w:tcPr>
            <w:tcW w:w="1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revenue</w:t>
            </w:r>
            <w:r>
              <w:rPr>
                <w:rFonts w:ascii="Times New Roman;serif" w:hAnsi="Times New Roman;serif"/>
                <w:b w:val="false"/>
                <w:color w:val="000000"/>
                <w:sz w:val="13"/>
              </w:rPr>
              <w:t>(b)</w:t>
            </w:r>
          </w:p>
        </w:tc>
        <w:tc>
          <w:tcPr>
            <w:tcW w:w="1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Eliminations</w:t>
            </w:r>
            <w:r>
              <w:rPr>
                <w:rFonts w:ascii="Times New Roman;serif" w:hAnsi="Times New Roman;serif"/>
                <w:b w:val="false"/>
                <w:color w:val="000000"/>
                <w:sz w:val="13"/>
              </w:rPr>
              <w:t>(a)</w:t>
            </w:r>
          </w:p>
        </w:tc>
        <w:tc>
          <w:tcPr>
            <w:tcW w:w="1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w:t>
            </w:r>
          </w:p>
        </w:tc>
        <w:tc>
          <w:tcPr>
            <w:tcW w:w="1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91,397 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segment expenses:</w:t>
            </w:r>
            <w:r>
              <w:rPr>
                <w:rFonts w:ascii="Times New Roman;serif" w:hAnsi="Times New Roman;serif"/>
                <w:b w:val="false"/>
                <w:color w:val="000000"/>
                <w:sz w:val="13"/>
              </w:rPr>
              <w:t>(c)</w:t>
            </w:r>
          </w:p>
        </w:tc>
        <w:tc>
          <w:tcPr>
            <w:tcW w:w="1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production</w:t>
            </w:r>
          </w:p>
        </w:tc>
        <w:tc>
          <w:tcPr>
            <w:tcW w:w="1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promotion</w:t>
            </w:r>
          </w:p>
        </w:tc>
        <w:tc>
          <w:tcPr>
            <w:tcW w:w="1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(d)</w:t>
            </w:r>
          </w:p>
        </w:tc>
        <w:tc>
          <w:tcPr>
            <w:tcW w:w="1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Adjusted EBITDA</w:t>
            </w:r>
            <w:r>
              <w:rPr>
                <w:rFonts w:ascii="Times New Roman;serif" w:hAnsi="Times New Roman;serif"/>
                <w:b w:val="false"/>
                <w:color w:val="000000"/>
                <w:sz w:val="13"/>
              </w:rPr>
              <w:t>(e)</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20,332 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total segment Adjusted EBITDA</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Media, Studios and Theme Parks headquarters and other</w:t>
            </w:r>
            <w:r>
              <w:rPr>
                <w:rFonts w:ascii="Times New Roman;serif" w:hAnsi="Times New Roman;serif"/>
                <w:b w:val="false"/>
                <w:color w:val="000000"/>
                <w:sz w:val="13"/>
              </w:rPr>
              <w:t>(f)</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Versant</w:t>
            </w:r>
          </w:p>
        </w:tc>
        <w:tc>
          <w:tcPr>
            <w:tcW w:w="1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Corporate and other</w:t>
            </w:r>
            <w:r>
              <w:rPr>
                <w:rFonts w:ascii="Times New Roman;serif" w:hAnsi="Times New Roman;serif"/>
                <w:b w:val="false"/>
                <w:color w:val="000000"/>
                <w:sz w:val="13"/>
              </w:rPr>
              <w:t>(b)(e)</w:t>
            </w:r>
          </w:p>
        </w:tc>
        <w:tc>
          <w:tcPr>
            <w:tcW w:w="1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1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other income (loss), net</w:t>
            </w:r>
          </w:p>
        </w:tc>
        <w:tc>
          <w:tcPr>
            <w:tcW w:w="1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98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23,607 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(a)Our most significant intersegment revenue transactions include distribution revenue in Media related to fees from Residential Connectivity &amp; Platforms for the rights to distribute television programming, and content licensing revenue in Studios for licenses of owned content to Media. Amounts in 2025 also include intersegment revenue transactions between our segments and Versant.</w:t>
      </w:r>
    </w:p>
    <w:p>
      <w:pPr>
        <w:pStyle w:val="TextBody"/>
        <w:bidi w:val="0"/>
        <w:spacing w:lineRule="auto" w:line="288" w:before="4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(b)Includes the operations of our Sky-branded video services and television networks in Germany through the completion of the sale on May 31, 2026 (see Note 6); our regional sports networks; and Comcast Spectacor, which owns the Philadelphia Flyers and the Xfinity Mobile Arena in Philadelphia, Pennsylvania. Corporate and other also includes overhead and personnel costs for Corporate. The three and nine months ended September 30, 2026 include $26 million of transaction and transaction-related costs related to the proposed NBCUniversal Spin-off. The nine months ended September 30, 2026 also include $51 million of transaction costs associated with the Versant Separation. The three and nine months ended September 30, 2025 include $116 million and $248 million, respectively, of transaction and transaction-related costs related to the Versant Separation. </w:t>
      </w:r>
    </w:p>
    <w:p>
      <w:pPr>
        <w:pStyle w:val="TextBody"/>
        <w:bidi w:val="0"/>
        <w:spacing w:lineRule="auto" w:line="288" w:before="4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(c)The significant expense categories and amounts align with the segment-level information that is regularly provided to our chief operating decision maker. Intersegment expenses are included in the amounts shown.</w:t>
      </w:r>
    </w:p>
    <w:p>
      <w:pPr>
        <w:pStyle w:val="TextBody"/>
        <w:bidi w:val="0"/>
        <w:spacing w:lineRule="auto" w:line="288" w:before="4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(d)Other for each segment primarily includes:</w:t>
      </w:r>
    </w:p>
    <w:p>
      <w:pPr>
        <w:pStyle w:val="TextBody"/>
        <w:bidi w:val="0"/>
        <w:spacing w:lineRule="auto" w:line="288" w:before="80" w:after="283"/>
        <w:jc w:val="both"/>
        <w:rPr>
          <w:rFonts w:ascii="Times New Roman;serif" w:hAnsi="Times New Roman;serif"/>
          <w:b w:val="false"/>
          <w:color w:val="000000"/>
          <w:sz w:val="16"/>
        </w:rPr>
      </w:pPr>
      <w:r>
        <w:rPr>
          <w:rFonts w:ascii="Times New Roman;serif" w:hAnsi="Times New Roman;serif"/>
          <w:b w:val="false"/>
          <w:color w:val="000000"/>
          <w:sz w:val="16"/>
        </w:rPr>
        <w:t>Residential Connectivity &amp; Platforms and Business Services Connectivity: technical and support expenses; direct product costs; marketing and promotion expenses; customer service expenses; administrative personnel costs; franchise and other regulatory fees; fees paid to third parties where we are acting as the principal in the advertising representation arrangement; bad debt; and other business, headquarters and support costs, including building and office expenses, taxes and billing costs necessary to operate the Residential Connectivity &amp; Platforms and Business Services Connectivity segments. Our chief operating decision maker uses aggregate expense information to manage the operations of the Business Services Connectivity segment.</w:t>
      </w:r>
    </w:p>
    <w:p>
      <w:pPr>
        <w:pStyle w:val="TextBody"/>
        <w:bidi w:val="0"/>
        <w:spacing w:lineRule="auto" w:line="288" w:before="40" w:after="283"/>
        <w:jc w:val="both"/>
        <w:rPr>
          <w:rFonts w:ascii="Times New Roman;serif" w:hAnsi="Times New Roman;serif"/>
          <w:b w:val="false"/>
          <w:color w:val="000000"/>
          <w:sz w:val="16"/>
        </w:rPr>
      </w:pPr>
      <w:r>
        <w:rPr>
          <w:rFonts w:ascii="Times New Roman;serif" w:hAnsi="Times New Roman;serif"/>
          <w:b w:val="false"/>
          <w:color w:val="000000"/>
          <w:sz w:val="16"/>
        </w:rPr>
        <w:t>Media and Studios: salaries, employee benefits, rent and other overhead expenses.</w:t>
      </w:r>
    </w:p>
    <w:p>
      <w:pPr>
        <w:pStyle w:val="TextBody"/>
        <w:bidi w:val="0"/>
        <w:spacing w:lineRule="auto" w:line="288" w:before="40" w:after="283"/>
        <w:jc w:val="both"/>
        <w:rPr>
          <w:rFonts w:ascii="Times New Roman;serif" w:hAnsi="Times New Roman;serif"/>
          <w:b w:val="false"/>
          <w:color w:val="000000"/>
          <w:sz w:val="16"/>
        </w:rPr>
      </w:pPr>
      <w:r>
        <w:rPr>
          <w:rFonts w:ascii="Times New Roman;serif" w:hAnsi="Times New Roman;serif"/>
          <w:b w:val="false"/>
          <w:color w:val="000000"/>
          <w:sz w:val="16"/>
        </w:rPr>
        <w:t>Theme Parks: theme park operations, including repairs and maintenance and related administrative expenses; food, beverage and merchandise costs; labor costs; and sales and marketing costs. Our chief operating decision maker uses aggregate expense information to manage the operations of the Theme Parks segment.</w:t>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(e)We use Adjusted EBITDA as the measure of profit or loss for our segments. For each of our segments, our chief operating decision maker uses Adjusted EBITDA to measure operational strength and performance, assist in the evaluation of underlying trends, and allocate resources in the annual budget and forecasting process. Adjusted EBITDA is also a significant performance measure in our annual incentive compensation programs. From time to time, we may report the impact of certain events, gains, losses or other charges related to our segments within Corporate and other.</w:t>
      </w:r>
    </w:p>
    <w:p>
      <w:pPr>
        <w:pStyle w:val="TextBody"/>
        <w:bidi w:val="0"/>
        <w:spacing w:lineRule="auto" w:line="288" w:before="4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(f)Includes overhead, personnel costs and other costs necessary to operate the Media, Studios and Theme Parks segments.</w:t>
      </w:r>
    </w:p>
    <w:p>
      <w:pPr>
        <w:pStyle w:val="TextBody"/>
        <w:bidi w:val="0"/>
        <w:spacing w:before="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785"/>
                <wp:effectExtent l="0" t="0" r="0" b="0"/>
                <wp:wrapNone/>
                <wp:docPr id="15" name="Frame1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bidi w:val="0"/>
        <w:spacing w:lineRule="auto" w:line="288" w:before="210" w:after="283"/>
        <w:jc w:val="left"/>
        <w:rPr>
          <w:rFonts w:ascii="Helvetica;sans-serif" w:hAnsi="Helvetica;sans-serif"/>
          <w:b/>
          <w:color w:val="000000"/>
          <w:sz w:val="24"/>
        </w:rPr>
      </w:pPr>
      <w:r>
        <w:rPr>
          <w:rFonts w:ascii="Helvetica;sans-serif" w:hAnsi="Helvetica;sans-serif"/>
          <w:b/>
          <w:color w:val="000000"/>
          <w:sz w:val="24"/>
        </w:rPr>
        <w:t>Note 3: Revenue</w:t>
      </w:r>
    </w:p>
    <w:tbl>
      <w:tblPr>
        <w:tblW w:w="9659" w:type="dxa"/>
        <w:jc w:val="left"/>
        <w:tblInd w:w="0" w:type="dxa"/>
        <w:tblLayout w:type="fixed"/>
        <w:tblCellMar>
          <w:top w:w="28" w:type="dxa"/>
          <w:left w:w="28" w:type="dxa"/>
          <w:bottom w:w="28" w:type="dxa"/>
          <w:right w:w="28" w:type="dxa"/>
        </w:tblCellMar>
      </w:tblPr>
      <w:tblGrid>
        <w:gridCol w:w="1596"/>
        <w:gridCol w:w="1401"/>
        <w:gridCol w:w="1412"/>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54"/>
      </w:tblGrid>
      <w:tr>
        <w:trPr/>
        <w:tc>
          <w:tcPr>
            <w:tcW w:w="1596"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2025</w:t>
            </w:r>
            <w:r>
              <w:rPr>
                <w:rFonts w:ascii="Times New Roman;serif" w:hAnsi="Times New Roman;serif"/>
                <w:b w:val="false"/>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2025</w:t>
            </w:r>
            <w:r>
              <w:rPr>
                <w:rFonts w:ascii="Times New Roman;serif" w:hAnsi="Times New Roman;serif"/>
                <w:b w:val="false"/>
                <w:color w:val="000000"/>
                <w:sz w:val="10"/>
              </w:rPr>
              <w:t>(a)</w:t>
            </w:r>
          </w:p>
        </w:tc>
      </w:tr>
      <w:tr>
        <w:trPr/>
        <w:tc>
          <w:tcPr>
            <w:tcW w:w="4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broadband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wireless service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wireless equipment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connectivity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 Connectivity &amp; Platforms Segment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Business Services Connectivity Segment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advertising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distribution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networks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Media Segment</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licensing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Theatrical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Studios Segment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Theme Parks Segment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Versant revenue</w:t>
            </w:r>
            <w:r>
              <w:rPr>
                <w:rFonts w:ascii="Times New Roman;serif" w:hAnsi="Times New Roman;serif"/>
                <w:b w:val="false"/>
                <w:color w:val="000000"/>
                <w:sz w:val="13"/>
              </w:rPr>
              <w:t>(b)</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revenue</w:t>
            </w:r>
            <w:r>
              <w:rPr>
                <w:rFonts w:ascii="Times New Roman;serif" w:hAnsi="Times New Roman;serif"/>
                <w:b w:val="false"/>
                <w:color w:val="000000"/>
                <w:sz w:val="13"/>
              </w:rPr>
              <w:t>(c)</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Eliminations</w:t>
            </w:r>
            <w:r>
              <w:rPr>
                <w:rFonts w:ascii="Times New Roman;serif" w:hAnsi="Times New Roman;serif"/>
                <w:b w:val="false"/>
                <w:color w:val="000000"/>
                <w:sz w:val="13"/>
              </w:rPr>
              <w:t>(c)</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29,298</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31,198</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90,695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91,397</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val="false"/>
          <w:color w:val="000000"/>
          <w:sz w:val="16"/>
        </w:rPr>
      </w:pPr>
      <w:r>
        <w:rPr>
          <w:rFonts w:ascii="Times New Roman;serif" w:hAnsi="Times New Roman;serif"/>
          <w:b w:val="false"/>
          <w:color w:val="000000"/>
          <w:sz w:val="16"/>
        </w:rPr>
        <w:t>(a) Beginning in the first quarter of 2026, commission revenue from the sale of certain direct to consumer (“DTC”) streaming services is presented in broadband revenue or video revenue based on whether a customer is entitled to receive the DTC streaming service through a broadband or video service offering. Broadband revenue also includes revenue from streaming devices available to our broadband customers. Previously, all of these amounts were in video revenue. Prior periods have been reclassified to reflect the current year presentation.</w:t>
      </w:r>
    </w:p>
    <w:p>
      <w:pPr>
        <w:pStyle w:val="TextBody"/>
        <w:bidi w:val="0"/>
        <w:spacing w:lineRule="auto" w:line="288" w:before="60" w:after="120"/>
        <w:jc w:val="both"/>
        <w:rPr>
          <w:rFonts w:ascii="Times New Roman;serif" w:hAnsi="Times New Roman;serif"/>
          <w:b w:val="false"/>
          <w:color w:val="000000"/>
          <w:sz w:val="16"/>
        </w:rPr>
      </w:pPr>
      <w:r>
        <w:rPr>
          <w:rFonts w:ascii="Times New Roman;serif" w:hAnsi="Times New Roman;serif"/>
          <w:b w:val="false"/>
          <w:color w:val="000000"/>
          <w:sz w:val="16"/>
        </w:rPr>
        <w:t>(b) Includes the historical revenue of the Versant business, primarily domestic distribution revenue, domestic advertising revenue and other revenue generated from digital properties.</w:t>
      </w:r>
    </w:p>
    <w:p>
      <w:pPr>
        <w:pStyle w:val="TextBody"/>
        <w:bidi w:val="0"/>
        <w:spacing w:lineRule="auto" w:line="288" w:before="60" w:after="120"/>
        <w:jc w:val="both"/>
        <w:rPr>
          <w:rFonts w:ascii="Times New Roman;serif" w:hAnsi="Times New Roman;serif"/>
          <w:b w:val="false"/>
          <w:color w:val="000000"/>
          <w:sz w:val="16"/>
        </w:rPr>
      </w:pPr>
      <w:r>
        <w:rPr>
          <w:rFonts w:ascii="Times New Roman;serif" w:hAnsi="Times New Roman;serif"/>
          <w:b w:val="false"/>
          <w:color w:val="000000"/>
          <w:sz w:val="16"/>
        </w:rPr>
        <w:t>(c) See Note 2 for additional information on other revenue and intersegment revenue transactions.</w:t>
      </w:r>
    </w:p>
    <w:p>
      <w:pPr>
        <w:pStyle w:val="TextBody"/>
        <w:bidi w:val="0"/>
        <w:spacing w:lineRule="auto" w:line="288" w:before="0" w:after="120"/>
        <w:jc w:val="left"/>
        <w:rPr>
          <w:rFonts w:ascii="Helvetica;sans-serif" w:hAnsi="Helvetica;sans-serif"/>
          <w:b/>
          <w:color w:val="000000"/>
          <w:sz w:val="20"/>
        </w:rPr>
      </w:pPr>
      <w:r>
        <w:rPr>
          <w:rFonts w:ascii="Helvetica;sans-serif" w:hAnsi="Helvetica;sans-serif"/>
          <w:b/>
          <w:color w:val="000000"/>
          <w:sz w:val="20"/>
        </w:rPr>
        <w:t>Condensed Consolidated Balance Sheets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our accounts receivable and other balances that are not separately presented in our condensed consolidated balance sheets that relate to the recognition of revenue and collection of the related cash.</w:t>
      </w:r>
    </w:p>
    <w:tbl>
      <w:tblPr>
        <w:tblW w:w="8305" w:type="dxa"/>
        <w:jc w:val="left"/>
        <w:tblInd w:w="0" w:type="dxa"/>
        <w:tblLayout w:type="fixed"/>
        <w:tblCellMar>
          <w:top w:w="28" w:type="dxa"/>
          <w:left w:w="28" w:type="dxa"/>
          <w:bottom w:w="28" w:type="dxa"/>
          <w:right w:w="28" w:type="dxa"/>
        </w:tblCellMar>
      </w:tblPr>
      <w:tblGrid>
        <w:gridCol w:w="2078"/>
        <w:gridCol w:w="1823"/>
        <w:gridCol w:w="1844"/>
        <w:gridCol w:w="221"/>
        <w:gridCol w:w="774"/>
        <w:gridCol w:w="114"/>
        <w:gridCol w:w="109"/>
        <w:gridCol w:w="109"/>
        <w:gridCol w:w="109"/>
        <w:gridCol w:w="215"/>
        <w:gridCol w:w="752"/>
        <w:gridCol w:w="157"/>
      </w:tblGrid>
      <w:tr>
        <w:trPr/>
        <w:tc>
          <w:tcPr>
            <w:tcW w:w="2078"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5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gross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Receivables, net</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13,542</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13,869</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receivables, net (included in other noncurrent assets, net)</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deferred revenue (included in other noncurrent liabilities)</w:t>
            </w:r>
          </w:p>
        </w:tc>
        <w:tc>
          <w:tcPr>
            <w:tcW w:w="2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1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5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receivables include amounts not yet billed related to equipment installment plans, as summarized in the table below.</w:t>
      </w:r>
    </w:p>
    <w:tbl>
      <w:tblPr>
        <w:tblW w:w="8246" w:type="dxa"/>
        <w:jc w:val="left"/>
        <w:tblInd w:w="0" w:type="dxa"/>
        <w:tblLayout w:type="fixed"/>
        <w:tblCellMar>
          <w:top w:w="28" w:type="dxa"/>
          <w:left w:w="28" w:type="dxa"/>
          <w:bottom w:w="28" w:type="dxa"/>
          <w:right w:w="28" w:type="dxa"/>
        </w:tblCellMar>
      </w:tblPr>
      <w:tblGrid>
        <w:gridCol w:w="2055"/>
        <w:gridCol w:w="1805"/>
        <w:gridCol w:w="1824"/>
        <w:gridCol w:w="246"/>
        <w:gridCol w:w="737"/>
        <w:gridCol w:w="127"/>
        <w:gridCol w:w="109"/>
        <w:gridCol w:w="109"/>
        <w:gridCol w:w="109"/>
        <w:gridCol w:w="238"/>
        <w:gridCol w:w="713"/>
        <w:gridCol w:w="174"/>
      </w:tblGrid>
      <w:tr>
        <w:trPr/>
        <w:tc>
          <w:tcPr>
            <w:tcW w:w="205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5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receivables, net (included in other noncurrent assets, net)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3,615</w:t>
            </w:r>
            <w:r>
              <w:rPr>
                <w:color w:val="000000"/>
              </w:rPr>
              <w:t> </w:t>
            </w:r>
          </w:p>
        </w:tc>
        <w:tc>
          <w:tcPr>
            <w:tcW w:w="1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3,491</w:t>
            </w:r>
            <w:r>
              <w:rPr>
                <w:color w:val="000000"/>
              </w:rPr>
              <w:t> </w:t>
            </w:r>
          </w:p>
        </w:tc>
        <w:tc>
          <w:tcPr>
            <w:tcW w:w="17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785"/>
                <wp:effectExtent l="0" t="0" r="0" b="0"/>
                <wp:wrapNone/>
                <wp:docPr id="16" name="Frame1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bidi w:val="0"/>
        <w:spacing w:lineRule="auto" w:line="288" w:before="210" w:after="283"/>
        <w:jc w:val="left"/>
        <w:rPr>
          <w:rFonts w:ascii="Helvetica;sans-serif" w:hAnsi="Helvetica;sans-serif"/>
          <w:b/>
          <w:color w:val="000000"/>
          <w:sz w:val="24"/>
        </w:rPr>
      </w:pPr>
      <w:r>
        <w:rPr>
          <w:rFonts w:ascii="Helvetica;sans-serif" w:hAnsi="Helvetica;sans-serif"/>
          <w:b/>
          <w:color w:val="000000"/>
          <w:sz w:val="24"/>
        </w:rPr>
        <w:t>Note 4: Programming and Production Costs</w:t>
      </w:r>
    </w:p>
    <w:tbl>
      <w:tblPr>
        <w:tblW w:w="9200" w:type="dxa"/>
        <w:jc w:val="center"/>
        <w:tblInd w:w="0" w:type="dxa"/>
        <w:tblLayout w:type="fixed"/>
        <w:tblCellMar>
          <w:top w:w="28" w:type="dxa"/>
          <w:left w:w="28" w:type="dxa"/>
          <w:bottom w:w="28" w:type="dxa"/>
          <w:right w:w="28" w:type="dxa"/>
        </w:tblCellMar>
      </w:tblPr>
      <w:tblGrid>
        <w:gridCol w:w="1308"/>
        <w:gridCol w:w="1148"/>
        <w:gridCol w:w="1159"/>
        <w:gridCol w:w="211"/>
        <w:gridCol w:w="631"/>
        <w:gridCol w:w="109"/>
        <w:gridCol w:w="109"/>
        <w:gridCol w:w="109"/>
        <w:gridCol w:w="109"/>
        <w:gridCol w:w="211"/>
        <w:gridCol w:w="631"/>
        <w:gridCol w:w="109"/>
        <w:gridCol w:w="109"/>
        <w:gridCol w:w="109"/>
        <w:gridCol w:w="109"/>
        <w:gridCol w:w="211"/>
        <w:gridCol w:w="736"/>
        <w:gridCol w:w="109"/>
        <w:gridCol w:w="109"/>
        <w:gridCol w:w="109"/>
        <w:gridCol w:w="109"/>
        <w:gridCol w:w="211"/>
        <w:gridCol w:w="736"/>
        <w:gridCol w:w="109"/>
        <w:gridCol w:w="109"/>
        <w:gridCol w:w="109"/>
        <w:gridCol w:w="109"/>
        <w:gridCol w:w="109"/>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Video distribution programming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Film and television content: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Owned</w:t>
            </w:r>
            <w:r>
              <w:rPr>
                <w:rFonts w:ascii="Times New Roman;serif" w:hAnsi="Times New Roman;serif"/>
                <w:b w:val="false"/>
                <w:color w:val="000000"/>
                <w:sz w:val="13"/>
              </w:rPr>
              <w:t>(a)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color w:val="000000"/>
                <w:sz w:val="20"/>
              </w:rPr>
              <w:t>Licensed, including sports rights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Total programming and production costs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7,515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8,655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26,789</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24,646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left"/>
        <w:rPr/>
      </w:pPr>
      <w:r>
        <w:rPr>
          <w:rFonts w:ascii="Times New Roman;serif" w:hAnsi="Times New Roman;serif"/>
          <w:b w:val="false"/>
          <w:color w:val="000000"/>
          <w:sz w:val="16"/>
        </w:rPr>
        <w:t>(a) Amount includes amortization of owned content of $1.6 billion and $5.5 billion for the three and nine months ended September 30, 2026, respectively, and $2.0 billion</w:t>
      </w:r>
      <w:r>
        <w:rPr>
          <w:color w:val="000000"/>
        </w:rPr>
        <w:t xml:space="preserve"> </w:t>
      </w:r>
      <w:r>
        <w:rPr>
          <w:rFonts w:ascii="Times New Roman;serif" w:hAnsi="Times New Roman;serif"/>
          <w:b w:val="false"/>
          <w:color w:val="000000"/>
          <w:sz w:val="16"/>
        </w:rPr>
        <w:t>and $6.0 billion for the three and nine months ended September 30, 2025, respectively, as well as participations and residuals expenses.</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Capitalized Film and Television Costs</w:t>
      </w:r>
    </w:p>
    <w:tbl>
      <w:tblPr>
        <w:tblW w:w="5619" w:type="dxa"/>
        <w:jc w:val="left"/>
        <w:tblInd w:w="0" w:type="dxa"/>
        <w:tblLayout w:type="fixed"/>
        <w:tblCellMar>
          <w:top w:w="28" w:type="dxa"/>
          <w:left w:w="28" w:type="dxa"/>
          <w:bottom w:w="28" w:type="dxa"/>
          <w:right w:w="28" w:type="dxa"/>
        </w:tblCellMar>
      </w:tblPr>
      <w:tblGrid>
        <w:gridCol w:w="1151"/>
        <w:gridCol w:w="952"/>
        <w:gridCol w:w="956"/>
        <w:gridCol w:w="221"/>
        <w:gridCol w:w="774"/>
        <w:gridCol w:w="114"/>
        <w:gridCol w:w="109"/>
        <w:gridCol w:w="109"/>
        <w:gridCol w:w="109"/>
        <w:gridCol w:w="215"/>
        <w:gridCol w:w="752"/>
        <w:gridCol w:w="157"/>
      </w:tblGrid>
      <w:tr>
        <w:trPr/>
        <w:tc>
          <w:tcPr>
            <w:tcW w:w="115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3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production and in development</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Completed, not released</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 less amortization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including sports advances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Film and television costs</w:t>
            </w:r>
          </w:p>
        </w:tc>
        <w:tc>
          <w:tcPr>
            <w:tcW w:w="2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11,095</w:t>
            </w:r>
            <w:r>
              <w:rPr>
                <w:color w:val="000000"/>
              </w:rPr>
              <w:t> </w:t>
            </w:r>
          </w:p>
        </w:tc>
        <w:tc>
          <w:tcPr>
            <w:tcW w:w="11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12,214</w:t>
            </w:r>
            <w:r>
              <w:rPr>
                <w:color w:val="000000"/>
              </w:rPr>
              <w:t> </w:t>
            </w:r>
          </w:p>
        </w:tc>
        <w:tc>
          <w:tcPr>
            <w:tcW w:w="15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10" w:after="120"/>
        <w:jc w:val="left"/>
        <w:rPr>
          <w:rFonts w:ascii="Helvetica;sans-serif" w:hAnsi="Helvetica;sans-serif"/>
          <w:b/>
          <w:color w:val="000000"/>
          <w:sz w:val="24"/>
        </w:rPr>
      </w:pPr>
      <w:r>
        <w:rPr>
          <w:rFonts w:ascii="Helvetica;sans-serif" w:hAnsi="Helvetica;sans-serif"/>
          <w:b/>
          <w:color w:val="000000"/>
          <w:sz w:val="24"/>
        </w:rPr>
        <w:t>Note 5: Debt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our debt had a carrying value of $87.4 billion and an estimated fair value of $71.6 billion. As of December 31, 2025, our debt had a carrying value of $98.9 billion and an estimated fair value of $90.3 billion. The estimated fair value of our publicly traded debt was primarily based on Level 1 inputs that use quoted market prices for the debt. The estimated fair value of debt for which there are no quoted market prices was based on Level 2 inputs that use interest rates available to us for debt with similar terms and remaining maturities.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10" w:after="283"/>
        <w:jc w:val="left"/>
        <w:rPr>
          <w:rFonts w:ascii="Helvetica;sans-serif" w:hAnsi="Helvetica;sans-serif"/>
          <w:b/>
          <w:color w:val="000000"/>
          <w:sz w:val="24"/>
        </w:rPr>
      </w:pPr>
      <w:r>
        <w:rPr>
          <w:rFonts w:ascii="Helvetica;sans-serif" w:hAnsi="Helvetica;sans-serif"/>
          <w:b/>
          <w:color w:val="000000"/>
          <w:sz w:val="24"/>
        </w:rPr>
        <w:t>Note 6: Significant Transactions</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Versant Separation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January 2, 2026, we completed the previously announced separation of Versant into an independent, publicly traded company with its Class A common stock listed on The Nasdaq Stock Market under the ticker symbol “VSNT.” The Versant business is comprised of select cable television networks, including MS NOW, CNBC, USA Network, Golf Channel, E!, SYFY and Oxygen, and complementary digital platforms, including GolfNow, Fandango, Rotten Tomatoes and SportsEngine.</w:t>
      </w:r>
    </w:p>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The Versant Separation was structured to qualify as a tax-free spin-off for U.S. federal income tax purposes and achieved through the transfer of assets and liabilities comprising the Versant business to Versant and its subsidiaries, followed by the distribution on January 2, 2026 of 100% of the shares of Versant common stock to Comcast shareholders in which each Comcast shareholder received 1 share of Versant common stock for every 25 shares of Comcast common stock owned as of the close of business on the record date of December 16, 2025 (the “Distribution”). Because the Versant business was not historically operated as a distinct business unit or division of Comcast, we undertook a series of corporate reorganization transactions in anticipation of the Versant Separation. Assets of approximately $12.5 billion, including approximately $7.7 billion of goodwill and $1.4 billion of other intangible assets, net of accumulated amortization, and liabilities of approximately $4.3 billion, including $3.0 billion of indebtedness from the issuance of certain notes and borrowings from a Term A loan facility and Term B loan facility associated with the Versant business were distributed through retained earnings as of the Versant Separation Date. Following the Versant Separation, we do not beneficially own any equity interest in Versant and no longer consolidate the results of the Versant business into our consolidated financial results.</w:t>
      </w:r>
    </w:p>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the Versant Separation Date, Versant distributed to us $2.25 billion of cash, which was funded by the $3.0 billion of prior indebtedness, resulting in a net cash distribution of $750 million to Versant in the first quarter of 2026. The proceeds from the $2.25 billion distribution, together with cash on hand, were used for the redemption on January 15, 2026 of all outstanding amounts of our 3.15% Notes due March 2026, including accrued and unpaid interest, totaling approximately $2.1 billion and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785"/>
                <wp:effectExtent l="0" t="0" r="0" b="0"/>
                <wp:wrapNone/>
                <wp:docPr id="17" name="Frame1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outstanding amounts of our 5.35% Notes due November 2027, including accrued and unpaid interest, totaling approximately $650 million.</w:t>
      </w:r>
    </w:p>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As part of the Versant Separation, we entered into a Separation and Distribution Agreement, a Tax Matters Agreement, a Transition Services Agreement, an Employee Matters Agreement and several other agreements with Versant to effect the Versant Separation and provide a framework for our relationship with Versant after the Versant Separation. Pursuant to a commercial services agreement with Versant, we sell domestic linear and related digital advertising inventory on their behalf for a period of approximately two years following the Versant Separation, and we record net commission revenue as earned.</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Sale of Sky Operations in Germany</w:t>
      </w:r>
    </w:p>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On May 31, 2026, we completed the sale of our Sky operations in Germany in exchange for net pre-tax cash proceeds of $59 million and other variable consideration. Upon completion of the sale, we derecognized assets of $770 million and liabilities of $644 million and recorded a $9 million pre-tax loss, presented in depreciation in our condensed consolidated statement of income. The pre-tax loss includes $30 million of accumulated other comprehensive income (loss) that was reclassified into net income. The related assets and liabilities were presented as held for sale as of December 31, 2025, with $892 million included in other current assets and $848 million included in accrued expenses and other current liabilities within our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10" w:after="283"/>
        <w:jc w:val="left"/>
        <w:rPr>
          <w:rFonts w:ascii="Helvetica;sans-serif" w:hAnsi="Helvetica;sans-serif"/>
          <w:b/>
          <w:color w:val="000000"/>
          <w:sz w:val="24"/>
          <w:shd w:fill="FFFFFF" w:val="clear"/>
        </w:rPr>
      </w:pPr>
      <w:r>
        <w:rPr>
          <w:rFonts w:ascii="Helvetica;sans-serif" w:hAnsi="Helvetica;sans-serif"/>
          <w:b/>
          <w:color w:val="000000"/>
          <w:sz w:val="24"/>
          <w:shd w:fill="FFFFFF" w:val="clear"/>
        </w:rPr>
        <w:t>Note 7: Investments and Variable Interest Entities</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Investment and Other Income (Loss), Net</w:t>
      </w:r>
    </w:p>
    <w:tbl>
      <w:tblPr>
        <w:tblW w:w="9510" w:type="dxa"/>
        <w:jc w:val="center"/>
        <w:tblInd w:w="0" w:type="dxa"/>
        <w:tblLayout w:type="fixed"/>
        <w:tblCellMar>
          <w:top w:w="28" w:type="dxa"/>
          <w:left w:w="28" w:type="dxa"/>
          <w:bottom w:w="28" w:type="dxa"/>
          <w:right w:w="28" w:type="dxa"/>
        </w:tblCellMar>
      </w:tblPr>
      <w:tblGrid>
        <w:gridCol w:w="1881"/>
        <w:gridCol w:w="1652"/>
        <w:gridCol w:w="1657"/>
        <w:gridCol w:w="211"/>
        <w:gridCol w:w="466"/>
        <w:gridCol w:w="109"/>
        <w:gridCol w:w="109"/>
        <w:gridCol w:w="109"/>
        <w:gridCol w:w="109"/>
        <w:gridCol w:w="211"/>
        <w:gridCol w:w="436"/>
        <w:gridCol w:w="109"/>
        <w:gridCol w:w="109"/>
        <w:gridCol w:w="109"/>
        <w:gridCol w:w="109"/>
        <w:gridCol w:w="211"/>
        <w:gridCol w:w="481"/>
        <w:gridCol w:w="109"/>
        <w:gridCol w:w="109"/>
        <w:gridCol w:w="109"/>
        <w:gridCol w:w="109"/>
        <w:gridCol w:w="211"/>
        <w:gridCol w:w="631"/>
        <w:gridCol w:w="154"/>
      </w:tblGrid>
      <w:tr>
        <w:trPr/>
        <w:tc>
          <w:tcPr>
            <w:tcW w:w="1881"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5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(losses) of investees,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Realized and unrealized gains (losses) on equity securities,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and other income (loss), net</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9,705</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pPr>
      <w:r>
        <w:rPr>
          <w:rFonts w:ascii="Times New Roman;serif" w:hAnsi="Times New Roman;serif"/>
          <w:b w:val="false"/>
          <w:color w:val="000000"/>
          <w:sz w:val="20"/>
        </w:rPr>
        <w:t xml:space="preserve">The amount of unrealized gains (losses), net recognized for the three months ended September 30, 2026 and 2025 that related to equity securities still held as of the end of each reporting period was $(51) million and $(55) million, respectively. The amount of unrealized gains (losses), net recognized for the </w:t>
      </w:r>
      <w:r>
        <w:rPr>
          <w:rFonts w:ascii="Times New Roman;serif" w:hAnsi="Times New Roman;serif"/>
          <w:b w:val="false"/>
          <w:color w:val="000000"/>
          <w:sz w:val="20"/>
          <w:shd w:fill="FFFFFF" w:val="clear"/>
        </w:rPr>
        <w:t>nine</w:t>
      </w:r>
      <w:r>
        <w:rPr>
          <w:color w:val="000000"/>
        </w:rPr>
        <w:t xml:space="preserve"> </w:t>
      </w:r>
      <w:r>
        <w:rPr>
          <w:rFonts w:ascii="Times New Roman;serif" w:hAnsi="Times New Roman;serif"/>
          <w:b w:val="false"/>
          <w:color w:val="000000"/>
          <w:sz w:val="20"/>
        </w:rPr>
        <w:t xml:space="preserve">months ended September 30, 2026 and 2025 that related to equity securities still held as of the end of each reporting period was $(77) million and $(85) million, respectively. </w:t>
      </w:r>
    </w:p>
    <w:p>
      <w:pPr>
        <w:pStyle w:val="TextBody"/>
        <w:bidi w:val="0"/>
        <w:spacing w:lineRule="auto" w:line="288" w:before="210" w:after="120"/>
        <w:jc w:val="left"/>
        <w:rPr>
          <w:rFonts w:ascii="Helvetica;sans-serif" w:hAnsi="Helvetica;sans-serif"/>
          <w:b/>
          <w:color w:val="000000"/>
          <w:sz w:val="20"/>
        </w:rPr>
      </w:pPr>
      <w:r>
        <w:rPr>
          <w:rFonts w:ascii="Helvetica;sans-serif" w:hAnsi="Helvetica;sans-serif"/>
          <w:b/>
          <w:color w:val="000000"/>
          <w:sz w:val="20"/>
        </w:rPr>
        <w:t>Investments</w:t>
      </w:r>
    </w:p>
    <w:tbl>
      <w:tblPr>
        <w:tblW w:w="5306" w:type="dxa"/>
        <w:jc w:val="left"/>
        <w:tblInd w:w="0" w:type="dxa"/>
        <w:tblLayout w:type="fixed"/>
        <w:tblCellMar>
          <w:top w:w="28" w:type="dxa"/>
          <w:left w:w="28" w:type="dxa"/>
          <w:bottom w:w="28" w:type="dxa"/>
          <w:right w:w="28" w:type="dxa"/>
        </w:tblCellMar>
      </w:tblPr>
      <w:tblGrid>
        <w:gridCol w:w="1096"/>
        <w:gridCol w:w="823"/>
        <w:gridCol w:w="825"/>
        <w:gridCol w:w="246"/>
        <w:gridCol w:w="737"/>
        <w:gridCol w:w="127"/>
        <w:gridCol w:w="109"/>
        <w:gridCol w:w="109"/>
        <w:gridCol w:w="109"/>
        <w:gridCol w:w="238"/>
        <w:gridCol w:w="713"/>
        <w:gridCol w:w="174"/>
      </w:tblGrid>
      <w:tr>
        <w:trPr/>
        <w:tc>
          <w:tcPr>
            <w:tcW w:w="109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27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Nonmarketable equity securities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7,966 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investments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investments</w:t>
            </w:r>
          </w:p>
        </w:tc>
        <w:tc>
          <w:tcPr>
            <w:tcW w:w="2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7,860</w:t>
            </w:r>
            <w:r>
              <w:rPr>
                <w:color w:val="000000"/>
              </w:rPr>
              <w:t> </w:t>
            </w:r>
          </w:p>
        </w:tc>
        <w:tc>
          <w:tcPr>
            <w:tcW w:w="12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7,952</w:t>
            </w:r>
            <w:r>
              <w:rPr>
                <w:color w:val="000000"/>
              </w:rPr>
              <w:t> </w:t>
            </w:r>
          </w:p>
        </w:tc>
        <w:tc>
          <w:tcPr>
            <w:tcW w:w="1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jc w:val="left"/>
        <w:rPr/>
      </w:pPr>
      <w:r>
        <w:rPr>
          <w:rFonts w:ascii="Helvetica;sans-serif" w:hAnsi="Helvetica;sans-serif"/>
          <w:b/>
          <w:color w:val="000000"/>
          <w:sz w:val="20"/>
        </w:rPr>
        <w:t>Equity Me</w:t>
      </w:r>
      <w:r>
        <w:rPr>
          <w:rFonts w:ascii="Helvetica;sans-serif" w:hAnsi="Helvetica;sans-serif"/>
          <w:b/>
          <w:color w:val="000000"/>
          <w:sz w:val="20"/>
          <w:shd w:fill="FFFFFF" w:val="clear"/>
        </w:rPr>
        <w:t>thod Investments</w:t>
      </w:r>
    </w:p>
    <w:p>
      <w:pPr>
        <w:pStyle w:val="TextBody"/>
        <w:bidi w:val="0"/>
        <w:spacing w:lineRule="auto" w:line="288" w:before="8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amount of cash distributions received from equity method investments presented within operating activities in the condensed consolidated statements of cash flows in the nine months ended September 30, 2026 and 2025 was $192 million and $113 million, respectively.</w:t>
      </w:r>
    </w:p>
    <w:p>
      <w:pPr>
        <w:pStyle w:val="TextBody"/>
        <w:bidi w:val="0"/>
        <w:spacing w:lineRule="auto" w:line="288" w:before="60" w:after="60"/>
        <w:jc w:val="both"/>
        <w:rPr>
          <w:rFonts w:ascii="Helvetica;sans-serif" w:hAnsi="Helvetica;sans-serif"/>
          <w:b/>
          <w:i/>
          <w:color w:val="000000"/>
          <w:sz w:val="20"/>
          <w:shd w:fill="FFFFFF" w:val="clear"/>
        </w:rPr>
      </w:pPr>
      <w:r>
        <w:rPr>
          <w:rFonts w:ascii="Helvetica;sans-serif" w:hAnsi="Helvetica;sans-serif"/>
          <w:b/>
          <w:i/>
          <w:color w:val="000000"/>
          <w:sz w:val="20"/>
          <w:shd w:fill="FFFFFF" w:val="clear"/>
        </w:rPr>
        <w:t>Atairos</w:t>
      </w:r>
    </w:p>
    <w:p>
      <w:pPr>
        <w:pStyle w:val="TextBody"/>
        <w:bidi w:val="0"/>
        <w:spacing w:lineRule="auto" w:line="288" w:before="60" w:after="120"/>
        <w:jc w:val="both"/>
        <w:rPr/>
      </w:pPr>
      <w:r>
        <w:rPr>
          <w:rFonts w:ascii="Times New Roman;serif" w:hAnsi="Times New Roman;serif"/>
          <w:b w:val="false"/>
          <w:color w:val="000000"/>
          <w:sz w:val="20"/>
          <w:shd w:fill="FFFFFF" w:val="clear"/>
        </w:rPr>
        <w:t>Atairos is a variable interest entity (“VIE”) that follows investment company accounting and records its investments at their fair values each reporting period with the net gains or losses reflected in its statement of operations. We recognize our share of these gains and losses in equity in net income (losses) of investees, net. For the nine months ended September 30, 2026 and 2025, we made cash capital contributions totaling $360 million and $117 million, respectively, to Atairos. As of September 30, 2026 and December 31, 2025, our investment, inclusive of advances classified withi</w:t>
      </w:r>
      <w:r>
        <w:rPr>
          <w:rFonts w:ascii="Times New Roman;serif" w:hAnsi="Times New Roman;serif"/>
          <w:b w:val="false"/>
          <w:color w:val="000000"/>
          <w:sz w:val="20"/>
        </w:rPr>
        <w:t>n other investments, was $5.2 billion and $4.7 billion, respectively. As of September 30, 2026, our remaining unfunded capital commitment was $971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785"/>
                <wp:effectExtent l="0" t="0" r="0" b="0"/>
                <wp:wrapNone/>
                <wp:docPr id="18" name="Frame1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bidi w:val="0"/>
        <w:spacing w:lineRule="auto" w:line="288" w:before="60" w:after="60"/>
        <w:jc w:val="both"/>
        <w:rPr>
          <w:rFonts w:ascii="Helvetica;sans-serif" w:hAnsi="Helvetica;sans-serif"/>
          <w:b/>
          <w:i/>
          <w:color w:val="000000"/>
          <w:sz w:val="20"/>
          <w:shd w:fill="FFFFFF" w:val="clear"/>
        </w:rPr>
      </w:pPr>
      <w:r>
        <w:rPr>
          <w:rFonts w:ascii="Helvetica;sans-serif" w:hAnsi="Helvetica;sans-serif"/>
          <w:b/>
          <w:i/>
          <w:color w:val="000000"/>
          <w:sz w:val="20"/>
          <w:shd w:fill="FFFFFF" w:val="clear"/>
        </w:rPr>
        <w:t>Hulu</w:t>
      </w:r>
    </w:p>
    <w:p>
      <w:pPr>
        <w:pStyle w:val="TextBody"/>
        <w:bidi w:val="0"/>
        <w:spacing w:lineRule="auto" w:line="276" w:before="60" w:after="283"/>
        <w:jc w:val="both"/>
        <w:rPr>
          <w:rFonts w:ascii="Times New Roman;serif" w:hAnsi="Times New Roman;serif"/>
          <w:b w:val="false"/>
          <w:color w:val="000000"/>
          <w:sz w:val="20"/>
        </w:rPr>
      </w:pPr>
      <w:r>
        <w:rPr>
          <w:rFonts w:ascii="Times New Roman;serif" w:hAnsi="Times New Roman;serif"/>
          <w:b w:val="false"/>
          <w:color w:val="000000"/>
          <w:sz w:val="20"/>
        </w:rPr>
        <w:t>In June 2025, we sold our 33% interest in Hulu following the finalization of a third-party appraisal of Hulu’s fair value performed pursuant to the terms of our put right exercised in November 2023. We received total cash proceeds of $9.6 billion for our interest, consisting of $439 million in the second quarter of 2025 and a $9.2 billion advance received in the fourth quarter of 2023. We recognized a pre-tax gain of $9.4 billion in other income (loss), net in our consolidated statement of income and we also recorded a receivable of $792 million within other current assets and other noncurrent assets, net, relating to our right to receive 50% of the estimated future tax benefits resulting from the transaction.</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Consolidated Variable Interest Entity</w:t>
      </w:r>
    </w:p>
    <w:p>
      <w:pPr>
        <w:pStyle w:val="TextBody"/>
        <w:bidi w:val="0"/>
        <w:spacing w:lineRule="auto" w:line="288" w:before="60" w:after="60"/>
        <w:jc w:val="both"/>
        <w:rPr>
          <w:rFonts w:ascii="Helvetica;sans-serif" w:hAnsi="Helvetica;sans-serif"/>
          <w:b/>
          <w:i/>
          <w:color w:val="000000"/>
          <w:sz w:val="20"/>
          <w:shd w:fill="FFFFFF" w:val="clear"/>
        </w:rPr>
      </w:pPr>
      <w:r>
        <w:rPr>
          <w:rFonts w:ascii="Helvetica;sans-serif" w:hAnsi="Helvetica;sans-serif"/>
          <w:b/>
          <w:i/>
          <w:color w:val="000000"/>
          <w:sz w:val="20"/>
          <w:shd w:fill="FFFFFF" w:val="clear"/>
        </w:rPr>
        <w:t>Universal Beijing Resort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own a 30% interest in a Universal theme park and resort in Beijing, China (“Universal Beijing Resort”). Universal Beijing Resort is a consolidated VIE with the remaining interest owned by a consortium of Chinese state-owned companies. The construction was funded through a combination of debt financing and equity contributions from the partners in accordance with their equity interests. As of September 30, 2026, Universal Beijing Resort had $3.7 billion of debt outstanding, including $3.3 billion principal amount of a term loan outstanding under the debt financing agreement. As of December 31, 2025, Universal Beijing Resort had $3.6 billion of debt outstanding, including $3.2 billion principal amount of a term loan outstanding under the debt financing agreement.</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September 30, 2026, our condensed consolidated balance sheet included assets and liabilities of Universal Beijing Resort totaling $7.7 billion and $7.8 billion, respectively. As of December 31, 2025, our condensed consolidated balance sheet included assets and liabilities of Universal Beijing Resort totaling $7.4 billion and $7.3 billion, respectively. The assets and liabilities of Universal Beijing Resort primarily consist of property and equipment, operating lease assets and liabilities, and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Helvetica;sans-serif" w:hAnsi="Helvetica;sans-serif"/>
          <w:b/>
          <w:color w:val="000000"/>
          <w:sz w:val="24"/>
        </w:rPr>
      </w:pPr>
      <w:r>
        <w:rPr>
          <w:rFonts w:ascii="Helvetica;sans-serif" w:hAnsi="Helvetica;sans-serif"/>
          <w:b/>
          <w:color w:val="000000"/>
          <w:sz w:val="24"/>
        </w:rPr>
        <w:t>Note 8: Goodwill and Intangible Assets</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Goodwill</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by segment for the nine months ended September 30, 2026 are presented in the table below.</w:t>
      </w:r>
    </w:p>
    <w:tbl>
      <w:tblPr>
        <w:tblW w:w="10205" w:type="dxa"/>
        <w:jc w:val="left"/>
        <w:tblInd w:w="0" w:type="dxa"/>
        <w:tblLayout w:type="fixed"/>
        <w:tblCellMar>
          <w:top w:w="28" w:type="dxa"/>
          <w:left w:w="28" w:type="dxa"/>
          <w:bottom w:w="28" w:type="dxa"/>
          <w:right w:w="28" w:type="dxa"/>
        </w:tblCellMar>
      </w:tblPr>
      <w:tblGrid>
        <w:gridCol w:w="931"/>
        <w:gridCol w:w="818"/>
        <w:gridCol w:w="746"/>
        <w:gridCol w:w="512"/>
        <w:gridCol w:w="1278"/>
        <w:gridCol w:w="265"/>
        <w:gridCol w:w="506"/>
        <w:gridCol w:w="1011"/>
        <w:gridCol w:w="262"/>
        <w:gridCol w:w="211"/>
        <w:gridCol w:w="526"/>
        <w:gridCol w:w="109"/>
        <w:gridCol w:w="211"/>
        <w:gridCol w:w="421"/>
        <w:gridCol w:w="109"/>
        <w:gridCol w:w="211"/>
        <w:gridCol w:w="421"/>
        <w:gridCol w:w="109"/>
        <w:gridCol w:w="211"/>
        <w:gridCol w:w="526"/>
        <w:gridCol w:w="109"/>
        <w:gridCol w:w="109"/>
        <w:gridCol w:w="109"/>
        <w:gridCol w:w="109"/>
        <w:gridCol w:w="109"/>
        <w:gridCol w:w="109"/>
        <w:gridCol w:w="157"/>
      </w:tblGrid>
      <w:tr>
        <w:trPr/>
        <w:tc>
          <w:tcPr>
            <w:tcW w:w="93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billions)</w:t>
            </w:r>
          </w:p>
        </w:tc>
        <w:tc>
          <w:tcPr>
            <w:tcW w:w="20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Residential Connectivity &amp; Platforms</w:t>
            </w:r>
          </w:p>
        </w:tc>
        <w:tc>
          <w:tcPr>
            <w:tcW w:w="177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Business Services Connectivity</w:t>
            </w:r>
          </w:p>
        </w:tc>
        <w:tc>
          <w:tcPr>
            <w:tcW w:w="84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Media</w:t>
            </w:r>
          </w:p>
        </w:tc>
        <w:tc>
          <w:tcPr>
            <w:tcW w:w="74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Studios</w:t>
            </w:r>
          </w:p>
        </w:tc>
        <w:tc>
          <w:tcPr>
            <w:tcW w:w="74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Times New Roman;serif" w:hAnsi="Times New Roman;serif"/>
                <w:b w:val="false"/>
                <w:color w:val="000000"/>
                <w:sz w:val="16"/>
              </w:rPr>
            </w:pPr>
            <w:r>
              <w:rPr>
                <w:rFonts w:ascii="Times New Roman;serif" w:hAnsi="Times New Roman;serif"/>
                <w:b w:val="false"/>
                <w:color w:val="000000"/>
                <w:sz w:val="16"/>
              </w:rPr>
              <w:t>Theme</w:t>
              <w:br/>
              <w:t>Parks</w:t>
            </w:r>
          </w:p>
        </w:tc>
        <w:tc>
          <w:tcPr>
            <w:tcW w:w="84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5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1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Goodwill</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w:t>
            </w: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impairment losses</w:t>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29.3</w:t>
            </w:r>
            <w:r>
              <w:rPr>
                <w:color w:val="000000"/>
              </w:rPr>
              <w:t>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Versant Separation (see Note 6)</w:t>
            </w:r>
          </w:p>
        </w:tc>
        <w:tc>
          <w:tcPr>
            <w:tcW w:w="1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and other</w:t>
            </w:r>
          </w:p>
        </w:tc>
        <w:tc>
          <w:tcPr>
            <w:tcW w:w="1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September 30, 2026</w:t>
            </w:r>
          </w:p>
        </w:tc>
        <w:tc>
          <w:tcPr>
            <w:tcW w:w="2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Goodwill</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w:t>
            </w: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impairment losses</w:t>
            </w:r>
          </w:p>
        </w:tc>
        <w:tc>
          <w:tcPr>
            <w:tcW w:w="1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95"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w:t>
            </w:r>
            <w:r>
              <w:rPr>
                <w:color w:val="000000"/>
              </w:rPr>
              <w:t> </w:t>
            </w:r>
          </w:p>
        </w:tc>
        <w:tc>
          <w:tcPr>
            <w:tcW w:w="2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2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95"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Helvetica;sans-serif" w:hAnsi="Helvetica;sans-serif"/>
          <w:b/>
          <w:color w:val="000000"/>
          <w:sz w:val="20"/>
        </w:rPr>
      </w:pPr>
      <w:r>
        <w:rPr>
          <w:rFonts w:ascii="Helvetica;sans-serif" w:hAnsi="Helvetica;sans-serif"/>
          <w:b/>
          <w:color w:val="000000"/>
          <w:sz w:val="20"/>
        </w:rPr>
        <w:t>Intangible Assets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Versant Separation, customer relationships decreased by a gross carrying amount of $9.0 billion and related accumulated amortization of $7.9 billion and other agreements and rights decreased by a gross carrying amount of $0.7 billion and related accumulated amortization of $0.5 billion.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785"/>
                <wp:effectExtent l="0" t="0" r="0" b="0"/>
                <wp:wrapNone/>
                <wp:docPr id="19" name="Frame1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estimated amortization expense of our customer relationships and other agreements and rights, including trade names, intellectual property rights and certain Federal Communications Commission (“FCC”) broadcast licenses. In the first quarter of 2026, we began amortizing certain FCC broadcast licenses with a gross carrying value of $0.6 billion, which were previously accounted for as indefinite-lived intangible assets.</w:t>
      </w:r>
    </w:p>
    <w:tbl>
      <w:tblPr>
        <w:tblW w:w="3996" w:type="dxa"/>
        <w:jc w:val="left"/>
        <w:tblInd w:w="0" w:type="dxa"/>
        <w:tblLayout w:type="fixed"/>
        <w:tblCellMar>
          <w:top w:w="28" w:type="dxa"/>
          <w:left w:w="28" w:type="dxa"/>
          <w:bottom w:w="28" w:type="dxa"/>
          <w:right w:w="28" w:type="dxa"/>
        </w:tblCellMar>
      </w:tblPr>
      <w:tblGrid>
        <w:gridCol w:w="1167"/>
        <w:gridCol w:w="1028"/>
        <w:gridCol w:w="1030"/>
        <w:gridCol w:w="211"/>
        <w:gridCol w:w="406"/>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417" w:before="0" w:after="0"/>
              <w:jc w:val="left"/>
              <w:rPr>
                <w:rFonts w:ascii="Helvetica;sans-serif" w:hAnsi="Helvetica;sans-serif"/>
                <w:b/>
                <w:color w:val="000000"/>
                <w:sz w:val="20"/>
              </w:rPr>
            </w:pPr>
            <w:r>
              <w:rPr>
                <w:rFonts w:ascii="Helvetica;sans-serif" w:hAnsi="Helvetica;sans-serif"/>
                <w:b/>
                <w:color w:val="000000"/>
                <w:sz w:val="20"/>
              </w:rPr>
              <w:t xml:space="preserve">Estimated Amortization Expense </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billions)</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3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three months of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10" w:after="120"/>
        <w:jc w:val="left"/>
        <w:rPr>
          <w:rFonts w:ascii="Helvetica;sans-serif" w:hAnsi="Helvetica;sans-serif"/>
          <w:b/>
          <w:color w:val="000000"/>
          <w:sz w:val="24"/>
        </w:rPr>
      </w:pPr>
      <w:r>
        <w:rPr>
          <w:rFonts w:ascii="Helvetica;sans-serif" w:hAnsi="Helvetica;sans-serif"/>
          <w:b/>
          <w:color w:val="000000"/>
          <w:sz w:val="24"/>
        </w:rPr>
        <w:t>Note 9: Equity and Share-Based Compensation</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Weighted-Average Common Shares Outstanding</w:t>
      </w:r>
    </w:p>
    <w:tbl>
      <w:tblPr>
        <w:tblW w:w="9792" w:type="dxa"/>
        <w:jc w:val="left"/>
        <w:tblInd w:w="0" w:type="dxa"/>
        <w:tblLayout w:type="fixed"/>
        <w:tblCellMar>
          <w:top w:w="28" w:type="dxa"/>
          <w:left w:w="28" w:type="dxa"/>
          <w:bottom w:w="28" w:type="dxa"/>
          <w:right w:w="28" w:type="dxa"/>
        </w:tblCellMar>
      </w:tblPr>
      <w:tblGrid>
        <w:gridCol w:w="2017"/>
        <w:gridCol w:w="1767"/>
        <w:gridCol w:w="1781"/>
        <w:gridCol w:w="308"/>
        <w:gridCol w:w="308"/>
        <w:gridCol w:w="175"/>
        <w:gridCol w:w="175"/>
        <w:gridCol w:w="175"/>
        <w:gridCol w:w="175"/>
        <w:gridCol w:w="308"/>
        <w:gridCol w:w="308"/>
        <w:gridCol w:w="175"/>
        <w:gridCol w:w="308"/>
        <w:gridCol w:w="308"/>
        <w:gridCol w:w="164"/>
        <w:gridCol w:w="164"/>
        <w:gridCol w:w="164"/>
        <w:gridCol w:w="164"/>
        <w:gridCol w:w="308"/>
        <w:gridCol w:w="308"/>
        <w:gridCol w:w="232"/>
      </w:tblGrid>
      <w:tr>
        <w:trPr/>
        <w:tc>
          <w:tcPr>
            <w:tcW w:w="2017"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5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 basic</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 diluted</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securities</w:t>
            </w:r>
          </w:p>
        </w:tc>
        <w:tc>
          <w:tcPr>
            <w:tcW w:w="6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7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6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3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40"/>
        <w:jc w:val="both"/>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in calculating diluted earnings per common share attributable to Comcast Corporation shareholders (“diluted EPS”) considers the impact of potentially dilutive securities using the treasury stock method. Antidilutive securities represent the number of potential common shares related to share-based compensation awards that were excluded from diluted EPS because their effect would have been antidilutive.</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Accumulated Other Comprehensive Income (Loss)</w:t>
      </w:r>
    </w:p>
    <w:tbl>
      <w:tblPr>
        <w:tblW w:w="8546" w:type="dxa"/>
        <w:jc w:val="left"/>
        <w:tblInd w:w="0" w:type="dxa"/>
        <w:tblLayout w:type="fixed"/>
        <w:tblCellMar>
          <w:top w:w="28" w:type="dxa"/>
          <w:left w:w="28" w:type="dxa"/>
          <w:bottom w:w="28" w:type="dxa"/>
          <w:right w:w="28" w:type="dxa"/>
        </w:tblCellMar>
      </w:tblPr>
      <w:tblGrid>
        <w:gridCol w:w="2169"/>
        <w:gridCol w:w="1900"/>
        <w:gridCol w:w="1915"/>
        <w:gridCol w:w="272"/>
        <w:gridCol w:w="698"/>
        <w:gridCol w:w="140"/>
        <w:gridCol w:w="109"/>
        <w:gridCol w:w="109"/>
        <w:gridCol w:w="109"/>
        <w:gridCol w:w="262"/>
        <w:gridCol w:w="672"/>
        <w:gridCol w:w="191"/>
      </w:tblGrid>
      <w:tr>
        <w:trPr/>
        <w:tc>
          <w:tcPr>
            <w:tcW w:w="2169"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5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gains (losses) on cash flow hedges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gains (losses) on employee benefit obligations and other</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other comprehensive income (loss), net of deferred taxes</w:t>
            </w:r>
          </w:p>
        </w:tc>
        <w:tc>
          <w:tcPr>
            <w:tcW w:w="27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(569)</w:t>
            </w:r>
          </w:p>
        </w:tc>
        <w:tc>
          <w:tcPr>
            <w:tcW w:w="14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1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Helvetica;sans-serif" w:hAnsi="Helvetica;sans-serif"/>
          <w:b/>
          <w:color w:val="000000"/>
          <w:sz w:val="20"/>
        </w:rPr>
      </w:pPr>
      <w:r>
        <w:rPr>
          <w:rFonts w:ascii="Helvetica;sans-serif" w:hAnsi="Helvetica;sans-serif"/>
          <w:b/>
          <w:color w:val="000000"/>
          <w:sz w:val="20"/>
        </w:rPr>
        <w:t>Share-Based Compensation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share-based compensation plans consist primarily of awards of restricted share units (“RSUs”), and prior to 2026, the plans had included grants of stock options, to certain employees and directors as part of our long-term incentive compensation structure. RSUs granted during 2026 generally vest over a period of 3 years and RSUs granted prior to 2026 generally vest over a period of 5 years. Additionally, through our employee stock purchase plans, employees are able to purchase shares of our common stock at a discount through payroll deductions.</w:t>
      </w:r>
    </w:p>
    <w:p>
      <w:pPr>
        <w:pStyle w:val="TextBody"/>
        <w:bidi w:val="0"/>
        <w:spacing w:lineRule="auto" w:line="288" w:before="76" w:after="283"/>
        <w:jc w:val="both"/>
        <w:rPr/>
      </w:pPr>
      <w:r>
        <w:rPr>
          <w:rFonts w:ascii="Times New Roman;serif" w:hAnsi="Times New Roman;serif"/>
          <w:b w:val="false"/>
          <w:color w:val="000000"/>
          <w:sz w:val="20"/>
        </w:rPr>
        <w:t>In February 2026, we granted 49 million RSUs under our annual management awards program. The weighted-average fair value associated with these grants was $29.60 per RSU. During the three months ended September 30, 2026 and 2025, share-based compensation expense recognized in our condensed consolidated statements of income was $315 million and $269 million, respectively. During the nine months ended</w:t>
      </w:r>
      <w:r>
        <w:rPr>
          <w:color w:val="000000"/>
        </w:rPr>
        <w:t xml:space="preserve"> </w:t>
      </w:r>
      <w:r>
        <w:rPr>
          <w:rFonts w:ascii="Times New Roman;serif" w:hAnsi="Times New Roman;serif"/>
          <w:b w:val="false"/>
          <w:color w:val="000000"/>
          <w:sz w:val="20"/>
        </w:rPr>
        <w:t>September 30, 2026 and 2025, share-based compensation expense recognized in our condensed consolidated statements of income was $1.0 billion and $859 million, respectively. As of September 30, 2026, we had unrecognized pre-tax compensation expense of $2.5 billion related to unvested RSUs and unvested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20" name="Frame1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left"/>
        <w:rPr>
          <w:rFonts w:ascii="Helvetica;sans-serif" w:hAnsi="Helvetica;sans-serif"/>
          <w:b w:val="false"/>
          <w:color w:val="000000"/>
          <w:sz w:val="24"/>
        </w:rPr>
      </w:pPr>
      <w:r>
        <w:rPr>
          <w:rFonts w:ascii="Helvetica;sans-serif" w:hAnsi="Helvetica;sans-serif"/>
          <w:b w:val="false"/>
          <w:color w:val="000000"/>
          <w:sz w:val="24"/>
        </w:rPr>
        <w:t>Comcast Corporation</w:t>
      </w:r>
    </w:p>
    <w:p>
      <w:pPr>
        <w:pStyle w:val="TextBody"/>
        <w:bidi w:val="0"/>
        <w:spacing w:lineRule="auto" w:line="288" w:before="210" w:after="283"/>
        <w:jc w:val="left"/>
        <w:rPr>
          <w:rFonts w:ascii="Helvetica;sans-serif" w:hAnsi="Helvetica;sans-serif"/>
          <w:b/>
          <w:color w:val="000000"/>
          <w:sz w:val="24"/>
        </w:rPr>
      </w:pPr>
      <w:r>
        <w:rPr>
          <w:rFonts w:ascii="Helvetica;sans-serif" w:hAnsi="Helvetica;sans-serif"/>
          <w:b/>
          <w:color w:val="000000"/>
          <w:sz w:val="24"/>
        </w:rPr>
        <w:t>Note 10: Supplemental Financial Information</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 xml:space="preserve">Cash Payments for Interest and Income Taxes </w:t>
      </w:r>
    </w:p>
    <w:tbl>
      <w:tblPr>
        <w:tblW w:w="4779" w:type="dxa"/>
        <w:jc w:val="left"/>
        <w:tblInd w:w="0" w:type="dxa"/>
        <w:tblLayout w:type="fixed"/>
        <w:tblCellMar>
          <w:top w:w="28" w:type="dxa"/>
          <w:left w:w="28" w:type="dxa"/>
          <w:bottom w:w="28" w:type="dxa"/>
          <w:right w:w="28" w:type="dxa"/>
        </w:tblCellMar>
      </w:tblPr>
      <w:tblGrid>
        <w:gridCol w:w="919"/>
        <w:gridCol w:w="807"/>
        <w:gridCol w:w="809"/>
        <w:gridCol w:w="211"/>
        <w:gridCol w:w="616"/>
        <w:gridCol w:w="109"/>
        <w:gridCol w:w="109"/>
        <w:gridCol w:w="109"/>
        <w:gridCol w:w="109"/>
        <w:gridCol w:w="211"/>
        <w:gridCol w:w="616"/>
        <w:gridCol w:w="154"/>
      </w:tblGrid>
      <w:tr>
        <w:trPr/>
        <w:tc>
          <w:tcPr>
            <w:tcW w:w="91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taxes, net of refunds</w:t>
            </w:r>
            <w:r>
              <w:rPr>
                <w:rFonts w:ascii="Times New Roman;serif" w:hAnsi="Times New Roman;serif"/>
                <w:b w:val="false"/>
                <w:color w:val="000000"/>
                <w:sz w:val="13"/>
              </w:rPr>
              <w:t>(a)</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rFonts w:ascii="Times New Roman;serif" w:hAnsi="Times New Roman;serif"/>
          <w:b w:val="false"/>
          <w:color w:val="000000"/>
          <w:sz w:val="16"/>
        </w:rPr>
      </w:pPr>
      <w:r>
        <w:rPr>
          <w:rFonts w:ascii="Times New Roman;serif" w:hAnsi="Times New Roman;serif"/>
          <w:b w:val="false"/>
          <w:color w:val="000000"/>
          <w:sz w:val="16"/>
        </w:rPr>
        <w:t>(a) Cash payments for income taxes for the nine months ended September 30, 2026 and 2025 include $870 million and $470 million, respectively, related to the purchase of third-party transferable tax credits.</w:t>
      </w:r>
    </w:p>
    <w:p>
      <w:pPr>
        <w:pStyle w:val="TextBody"/>
        <w:bidi w:val="0"/>
        <w:spacing w:lineRule="auto" w:line="288" w:before="36" w:after="283"/>
        <w:jc w:val="both"/>
        <w:rPr>
          <w:rFonts w:ascii="Helvetica;sans-serif" w:hAnsi="Helvetica;sans-serif"/>
          <w:b/>
          <w:color w:val="000000"/>
          <w:sz w:val="20"/>
        </w:rPr>
      </w:pPr>
      <w:r>
        <w:rPr>
          <w:rFonts w:ascii="Helvetica;sans-serif" w:hAnsi="Helvetica;sans-serif"/>
          <w:b/>
          <w:color w:val="000000"/>
          <w:sz w:val="20"/>
        </w:rPr>
        <w:t>Noncash Activities</w:t>
      </w:r>
    </w:p>
    <w:p>
      <w:pPr>
        <w:pStyle w:val="TextBody"/>
        <w:bidi w:val="0"/>
        <w:spacing w:lineRule="auto" w:line="288" w:before="76" w:after="283"/>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w:t>
      </w:r>
    </w:p>
    <w:p>
      <w:pPr>
        <w:pStyle w:val="TextBody"/>
        <w:bidi w:val="0"/>
        <w:spacing w:lineRule="auto" w:line="288" w:before="76" w:after="283"/>
        <w:ind w:left="0" w:right="0" w:hanging="360"/>
        <w:jc w:val="both"/>
        <w:rPr/>
      </w:pPr>
      <w:r>
        <w:rPr>
          <w:color w:val="000000"/>
        </w:rPr>
        <w:t>•</w:t>
      </w:r>
      <w:r>
        <w:rPr>
          <w:rFonts w:ascii="Times New Roman;serif" w:hAnsi="Times New Roman;serif"/>
          <w:b w:val="false"/>
          <w:color w:val="000000"/>
          <w:sz w:val="20"/>
        </w:rPr>
        <w:t>we acquired $2.2 billion of property and equipment and intangible assets that were accrued but unpaid</w:t>
      </w:r>
    </w:p>
    <w:p>
      <w:pPr>
        <w:pStyle w:val="TextBody"/>
        <w:bidi w:val="0"/>
        <w:spacing w:lineRule="auto" w:line="288" w:before="76" w:after="283"/>
        <w:ind w:left="0" w:right="0" w:hanging="360"/>
        <w:jc w:val="both"/>
        <w:rPr/>
      </w:pPr>
      <w:r>
        <w:rPr>
          <w:color w:val="000000"/>
        </w:rPr>
        <w:t>•</w:t>
      </w:r>
      <w:r>
        <w:rPr>
          <w:rFonts w:ascii="Times New Roman;serif" w:hAnsi="Times New Roman;serif"/>
          <w:b w:val="false"/>
          <w:color w:val="000000"/>
          <w:sz w:val="20"/>
        </w:rPr>
        <w:t>we recorded a liability of $1.2 billion for a quarterly cash dividend of $0.33 per common share to be paid in October 2026</w:t>
      </w:r>
    </w:p>
    <w:p>
      <w:pPr>
        <w:pStyle w:val="TextBody"/>
        <w:bidi w:val="0"/>
        <w:spacing w:lineRule="auto" w:line="288" w:before="76" w:after="283"/>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w:t>
      </w:r>
    </w:p>
    <w:p>
      <w:pPr>
        <w:pStyle w:val="TextBody"/>
        <w:bidi w:val="0"/>
        <w:spacing w:lineRule="auto" w:line="288" w:before="76" w:after="283"/>
        <w:ind w:left="0" w:right="0" w:hanging="360"/>
        <w:jc w:val="both"/>
        <w:rPr/>
      </w:pPr>
      <w:r>
        <w:rPr>
          <w:color w:val="000000"/>
        </w:rPr>
        <w:t>•</w:t>
      </w:r>
      <w:r>
        <w:rPr>
          <w:rFonts w:ascii="Times New Roman;serif" w:hAnsi="Times New Roman;serif"/>
          <w:b w:val="false"/>
          <w:color w:val="000000"/>
          <w:sz w:val="20"/>
        </w:rPr>
        <w:t>we acquired $2.1 billion of property and equipment and intangible assets that were accrued but unpaid</w:t>
      </w:r>
    </w:p>
    <w:p>
      <w:pPr>
        <w:pStyle w:val="TextBody"/>
        <w:bidi w:val="0"/>
        <w:spacing w:lineRule="auto" w:line="288" w:before="76" w:after="283"/>
        <w:ind w:left="0" w:right="0" w:hanging="360"/>
        <w:jc w:val="both"/>
        <w:rPr/>
      </w:pPr>
      <w:r>
        <w:rPr>
          <w:color w:val="000000"/>
        </w:rPr>
        <w:t>•</w:t>
      </w:r>
      <w:r>
        <w:rPr>
          <w:rFonts w:ascii="Times New Roman;serif" w:hAnsi="Times New Roman;serif"/>
          <w:b w:val="false"/>
          <w:color w:val="000000"/>
          <w:sz w:val="20"/>
        </w:rPr>
        <w:t>we recorded a liability of $1.2 billion for a quarterly cash dividend of $0.33 per common share paid in October 2025</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Cash, Cash Equivalents and Restricted Cash</w:t>
      </w:r>
    </w:p>
    <w:p>
      <w:pPr>
        <w:pStyle w:val="TextBody"/>
        <w:bidi w:val="0"/>
        <w:spacing w:lineRule="auto" w:line="288" w:before="100" w:after="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reconciliation of cash, cash equivalents and restricted cash reported in the condensed consolidated balance sheets to the total of the amounts reported in our condensed consolidated statements of cash flows. </w:t>
      </w:r>
    </w:p>
    <w:tbl>
      <w:tblPr>
        <w:tblW w:w="9221" w:type="dxa"/>
        <w:jc w:val="center"/>
        <w:tblInd w:w="0" w:type="dxa"/>
        <w:tblLayout w:type="fixed"/>
        <w:tblCellMar>
          <w:top w:w="28" w:type="dxa"/>
          <w:left w:w="28" w:type="dxa"/>
          <w:bottom w:w="28" w:type="dxa"/>
          <w:right w:w="28" w:type="dxa"/>
        </w:tblCellMar>
      </w:tblPr>
      <w:tblGrid>
        <w:gridCol w:w="2412"/>
        <w:gridCol w:w="2118"/>
        <w:gridCol w:w="2130"/>
        <w:gridCol w:w="246"/>
        <w:gridCol w:w="737"/>
        <w:gridCol w:w="127"/>
        <w:gridCol w:w="109"/>
        <w:gridCol w:w="109"/>
        <w:gridCol w:w="109"/>
        <w:gridCol w:w="215"/>
        <w:gridCol w:w="752"/>
        <w:gridCol w:w="157"/>
      </w:tblGrid>
      <w:tr>
        <w:trPr/>
        <w:tc>
          <w:tcPr>
            <w:tcW w:w="2412"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6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Restricted cash included in other current assets and other noncurrent assets, net</w:t>
            </w:r>
            <w:r>
              <w:rPr>
                <w:rFonts w:ascii="Times New Roman;serif" w:hAnsi="Times New Roman;serif"/>
                <w:b w:val="false"/>
                <w:color w:val="000000"/>
                <w:sz w:val="13"/>
              </w:rPr>
              <w:t>(a)</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end of period</w:t>
            </w:r>
          </w:p>
        </w:tc>
        <w:tc>
          <w:tcPr>
            <w:tcW w:w="2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7,676</w:t>
            </w:r>
            <w:r>
              <w:rPr>
                <w:color w:val="000000"/>
              </w:rPr>
              <w:t> </w:t>
            </w:r>
          </w:p>
        </w:tc>
        <w:tc>
          <w:tcPr>
            <w:tcW w:w="12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10,559</w:t>
            </w:r>
            <w:r>
              <w:rPr>
                <w:color w:val="000000"/>
              </w:rPr>
              <w:t> </w:t>
            </w:r>
          </w:p>
        </w:tc>
        <w:tc>
          <w:tcPr>
            <w:tcW w:w="15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 xml:space="preserve">(a)Restricted cash in other current assets as of December 31, 2025 includes the net proceeds from Versant’s issuance of $1.0 billion aggregate principal amount of 7.25% senior secured notes, plus accrued and unpaid interest, which were held in an escrow account due to a special mandatory redemption if the Versant Separation did not consummate by March 2, 2026. These funds were transferred to Versant on the Versant Separation Date (see Note 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10" w:after="283"/>
        <w:jc w:val="left"/>
        <w:rPr>
          <w:rFonts w:ascii="Helvetica;sans-serif" w:hAnsi="Helvetica;sans-serif"/>
          <w:b/>
          <w:color w:val="000000"/>
          <w:sz w:val="24"/>
        </w:rPr>
      </w:pPr>
      <w:r>
        <w:rPr>
          <w:rFonts w:ascii="Helvetica;sans-serif" w:hAnsi="Helvetica;sans-serif"/>
          <w:b/>
          <w:color w:val="000000"/>
          <w:sz w:val="24"/>
        </w:rPr>
        <w:t>Note 11: Commitments and Contingencies</w:t>
      </w:r>
    </w:p>
    <w:p>
      <w:pPr>
        <w:pStyle w:val="TextBody"/>
        <w:bidi w:val="0"/>
        <w:spacing w:lineRule="auto" w:line="288" w:before="136" w:after="283"/>
        <w:jc w:val="left"/>
        <w:rPr>
          <w:rFonts w:ascii="Helvetica;sans-serif" w:hAnsi="Helvetica;sans-serif"/>
          <w:b/>
          <w:color w:val="000000"/>
          <w:sz w:val="20"/>
        </w:rPr>
      </w:pPr>
      <w:r>
        <w:rPr>
          <w:rFonts w:ascii="Helvetica;sans-serif" w:hAnsi="Helvetica;sans-serif"/>
          <w:b/>
          <w:color w:val="000000"/>
          <w:sz w:val="20"/>
        </w:rPr>
        <w:t>Contingencies</w:t>
      </w:r>
    </w:p>
    <w:p>
      <w:pPr>
        <w:pStyle w:val="TextBody"/>
        <w:bidi w:val="0"/>
        <w:spacing w:lineRule="auto" w:line="288" w:before="76" w:after="30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legal proceedings and claims that arise in the ordinary course of our business. While the amount of ultimate liability with respect to such proceedings and claims is not expected to materially affect our </w:t>
      </w:r>
      <w:bookmarkStart w:id="1" w:name="id451b6038f904e33820f93335e1f3539_439"/>
      <w:bookmarkEnd w:id="1"/>
      <w:r>
        <w:rPr>
          <w:rFonts w:ascii="Times New Roman;serif" w:hAnsi="Times New Roman;serif"/>
          <w:b w:val="false"/>
          <w:color w:val="000000"/>
          <w:sz w:val="20"/>
        </w:rPr>
        <w:t>results of operations, cash flows or financial position, any such legal proceedings or claims could be time-consuming and injure our reputation.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21" name="Frame2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60" w:after="12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Helvetica;sans-serif" w:hAnsi="Helvetica;sans-serif"/>
          <w:b/>
          <w:color w:val="000000"/>
          <w:sz w:val="24"/>
        </w:rPr>
      </w:pPr>
      <w:r>
        <w:rPr>
          <w:rFonts w:ascii="Helvetica;sans-serif" w:hAnsi="Helvetica;sans-serif"/>
          <w:b/>
          <w:color w:val="000000"/>
          <w:sz w:val="24"/>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following discussion is provided as a supplement to, and should be read in conjunction with, the condensed consolidated financial statements and related notes (“Notes”) included in this Quarterly Report on Form 10-Q and our 2025 Annual Report on Form 10-K.</w:t>
      </w:r>
    </w:p>
    <w:p>
      <w:pPr>
        <w:pStyle w:val="TextBody"/>
        <w:bidi w:val="0"/>
        <w:spacing w:lineRule="auto" w:line="288" w:before="60" w:after="120"/>
        <w:jc w:val="left"/>
        <w:rPr>
          <w:rFonts w:ascii="Helvetica;sans-serif" w:hAnsi="Helvetica;sans-serif"/>
          <w:b/>
          <w:color w:val="000000"/>
          <w:sz w:val="24"/>
        </w:rPr>
      </w:pPr>
      <w:r>
        <w:rPr>
          <w:rFonts w:ascii="Helvetica;sans-serif" w:hAnsi="Helvetica;sans-serif"/>
          <w:b/>
          <w:color w:val="000000"/>
          <w:sz w:val="24"/>
        </w:rPr>
        <w:t>Overview</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are a global media and technology company with two primary businesses: Connectivity &amp; Platforms and Content &amp; Experiences. We present the operations of (1) our Connectivity &amp; Platforms business in two segments: Residential Connectivity &amp; Platforms and Business Services Connectivity; and (2) our Content &amp; Experiences business in three segments: Media, Studios and Theme Parks. Refer to Note 2 for information on our segments, including a description of the segment composition change implemented in the first quarter of 2026. All amounts are presented under the updated segment structure.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Versant Separation occurred on January 2, 2026. The results of Versant are included in our consolidated results of operations for the three and nine months ended September 30, 2025 and are excluded from our segment operating results (see Note 2). The sale of our Sky operations in Germany was completed on May 31, 2026; its results are included in our consolidated results of operations through the date of sale (see Note 6) and are excluded from our segment operating results.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June 2026, we announced our intention to separate into two independent publicly traded companies through a tax-free spin-off of NBCUniversal and Sky. The NBCUniversal Spin-off is expected to be completed in mid-2027, subject to the satisfaction of customary conditions. There can be no assurance that a separation transaction will occur, or, if one does occur, of its terms or timing. The discussion and analysis that follows includes the results of the businesses proposed to be included in the NBCUniversal Spin-off and does not reflect or give effect to what our results of operations and financial condition may be following the NBCUniversal Spin-off, if consummated.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2" name="Frame2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60" w:after="12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lineRule="auto" w:line="288" w:before="240" w:after="40"/>
        <w:jc w:val="left"/>
        <w:rPr>
          <w:rFonts w:ascii="Helvetica;sans-serif" w:hAnsi="Helvetica;sans-serif"/>
          <w:b/>
          <w:color w:val="000000"/>
          <w:sz w:val="24"/>
        </w:rPr>
      </w:pPr>
      <w:r>
        <w:rPr>
          <w:rFonts w:ascii="Helvetica;sans-serif" w:hAnsi="Helvetica;sans-serif"/>
          <w:b/>
          <w:color w:val="000000"/>
          <w:sz w:val="24"/>
        </w:rPr>
        <w:t>Consolidated Operating Results</w:t>
      </w:r>
    </w:p>
    <w:tbl>
      <w:tblPr>
        <w:tblW w:w="10205" w:type="dxa"/>
        <w:jc w:val="left"/>
        <w:tblInd w:w="0" w:type="dxa"/>
        <w:tblLayout w:type="fixed"/>
        <w:tblCellMar>
          <w:top w:w="28" w:type="dxa"/>
          <w:left w:w="28" w:type="dxa"/>
          <w:bottom w:w="28" w:type="dxa"/>
          <w:right w:w="28" w:type="dxa"/>
        </w:tblCellMar>
      </w:tblPr>
      <w:tblGrid>
        <w:gridCol w:w="1729"/>
        <w:gridCol w:w="1032"/>
        <w:gridCol w:w="1042"/>
        <w:gridCol w:w="211"/>
        <w:gridCol w:w="721"/>
        <w:gridCol w:w="109"/>
        <w:gridCol w:w="211"/>
        <w:gridCol w:w="721"/>
        <w:gridCol w:w="109"/>
        <w:gridCol w:w="272"/>
        <w:gridCol w:w="275"/>
        <w:gridCol w:w="367"/>
        <w:gridCol w:w="109"/>
        <w:gridCol w:w="109"/>
        <w:gridCol w:w="109"/>
        <w:gridCol w:w="211"/>
        <w:gridCol w:w="736"/>
        <w:gridCol w:w="109"/>
        <w:gridCol w:w="211"/>
        <w:gridCol w:w="736"/>
        <w:gridCol w:w="109"/>
        <w:gridCol w:w="272"/>
        <w:gridCol w:w="275"/>
        <w:gridCol w:w="420"/>
      </w:tblGrid>
      <w:tr>
        <w:trPr/>
        <w:tc>
          <w:tcPr>
            <w:tcW w:w="172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3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3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data)</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production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42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promotion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380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38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other income (loss),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r>
      <w:tr>
        <w:trPr/>
        <w:tc>
          <w:tcPr>
            <w:tcW w:w="38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Net income (loss) attributable to noncontrolling interests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attributable to Comcast Corporation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(48.7)</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80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Basic earnings per common share attributable to Comcast Corporation shareholders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0.97</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0.91</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w:t>
            </w:r>
            <w:r>
              <w:rPr>
                <w:color w:val="000000"/>
              </w:rPr>
              <w:t> </w:t>
            </w:r>
          </w:p>
        </w:tc>
        <w:tc>
          <w:tcPr>
            <w:tcW w:w="3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2.56</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(46.5)</w:t>
            </w:r>
          </w:p>
        </w:tc>
        <w:tc>
          <w:tcPr>
            <w:tcW w:w="4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Diluted earnings per common share attributable to Comcast Corporation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w:t>
            </w: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(46.5)</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 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EBITDA</w:t>
            </w:r>
            <w:r>
              <w:rPr>
                <w:rFonts w:ascii="Times New Roman;serif" w:hAnsi="Times New Roman;serif"/>
                <w:b w:val="false"/>
                <w:color w:val="000000"/>
                <w:sz w:val="13"/>
              </w:rPr>
              <w:t>(a)</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9,106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9,669</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w:t>
            </w:r>
          </w:p>
        </w:tc>
        <w:tc>
          <w:tcPr>
            <w:tcW w:w="36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25,938</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29,484</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w:t>
            </w:r>
          </w:p>
        </w:tc>
        <w:tc>
          <w:tcPr>
            <w:tcW w:w="42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(a)Adjusted EBITDA is a non-GAAP financial measure. Refer to the “Non-GAAP Financial Measures” section on page 30 for additional information, including our definition and our use of Adjusted EBITDA, and for a reconciliation from net income attributable to Comcast Corporation to Adjusted EBITDA.</w:t>
      </w:r>
    </w:p>
    <w:p>
      <w:pPr>
        <w:pStyle w:val="TextBody"/>
        <w:bidi w:val="0"/>
        <w:spacing w:lineRule="auto" w:line="288" w:before="60" w:after="120"/>
        <w:jc w:val="both"/>
        <w:rPr/>
      </w:pPr>
      <w:r>
        <w:rPr>
          <w:rFonts w:ascii="Helvetica;sans-serif" w:hAnsi="Helvetica;sans-serif"/>
          <w:b/>
          <w:color w:val="000000"/>
          <w:sz w:val="20"/>
        </w:rPr>
        <w:t>Consolidated revenue</w:t>
      </w:r>
      <w:r>
        <w:rPr>
          <w:color w:val="000000"/>
        </w:rPr>
        <w:t xml:space="preserve"> </w:t>
      </w:r>
      <w:r>
        <w:rPr>
          <w:rFonts w:ascii="Times New Roman;serif" w:hAnsi="Times New Roman;serif"/>
          <w:b w:val="false"/>
          <w:color w:val="000000"/>
          <w:sz w:val="20"/>
        </w:rPr>
        <w:t xml:space="preserve">decreased for the three months ended September 30, 2026 compared to the same period in 2025 primarily driven by a decrease due to the Versant Separation, a decrease due to the sale of our Sky operations in Germany and a decrease in the Connectivity &amp; Platforms business, partially offset by an increase in the Content &amp; Experiences business.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Consolidated revenue remained consistent for the nine months ended September 30, 2026 compared to the same period in 2025 primarily driven by a decrease due to the Versant Separation, a decrease in the Connectivity &amp; Platforms business and a decrease due to the sale of our Sky operations in Germany, offset by an increase in the Content &amp; Experiences business. Revenue for our segments and other businesses is discussed separately below under the heading “Segment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3" name="Frame2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60" w:after="12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lineRule="auto" w:line="288" w:before="60" w:after="120"/>
        <w:jc w:val="both"/>
        <w:rPr/>
      </w:pPr>
      <w:r>
        <w:rPr>
          <w:rFonts w:ascii="Helvetica;sans-serif" w:hAnsi="Helvetica;sans-serif"/>
          <w:b/>
          <w:color w:val="000000"/>
          <w:sz w:val="20"/>
        </w:rPr>
        <w:t>Consolidated costs and expenses</w:t>
      </w:r>
      <w:r>
        <w:rPr>
          <w:rFonts w:ascii="Times New Roman;serif" w:hAnsi="Times New Roman;serif"/>
          <w:b w:val="false"/>
          <w:color w:val="000000"/>
          <w:sz w:val="20"/>
        </w:rPr>
        <w:t xml:space="preserve">, excluding depreciation and amortization expense, decreased for the three months ended September 30, 2026 compared to the same period in 2025 primarily driven by a decrease due to the Versant Separation, a decrease due to the sale of our Sky operations in Germany and a decrease in the Connectivity &amp; Platforms business, partially offset by an increase in the Content &amp; Experiences business.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Consolidated costs and expenses, excluding depreciation and amortization expense, increased for the nine months ended September 30, 2026 compared to the same period in 2025 primarily driven by an increase in the Content &amp; Experiences business, partially offset by a decrease due to the Versant Separation, a decrease due to the sale of our Sky operations in Germany and a decrease in the Connectivity &amp; Platforms business. Costs and expenses for our segments and our corporate operations and other businesses are discussed separately below under the heading “Segment Operating Results.”</w:t>
      </w:r>
    </w:p>
    <w:p>
      <w:pPr>
        <w:pStyle w:val="TextBody"/>
        <w:bidi w:val="0"/>
        <w:spacing w:lineRule="auto" w:line="288" w:before="60" w:after="120"/>
        <w:jc w:val="both"/>
        <w:rPr/>
      </w:pPr>
      <w:r>
        <w:rPr>
          <w:rFonts w:ascii="Helvetica;sans-serif" w:hAnsi="Helvetica;sans-serif"/>
          <w:b/>
          <w:color w:val="000000"/>
          <w:sz w:val="20"/>
        </w:rPr>
        <w:t>Consolidated depreciation and amortization expense</w:t>
      </w:r>
      <w:r>
        <w:rPr>
          <w:color w:val="000000"/>
        </w:rPr>
        <w:t xml:space="preserve"> </w:t>
      </w:r>
      <w:r>
        <w:rPr>
          <w:rFonts w:ascii="Times New Roman;serif" w:hAnsi="Times New Roman;serif"/>
          <w:b w:val="false"/>
          <w:color w:val="000000"/>
          <w:sz w:val="20"/>
        </w:rPr>
        <w:t>decreased for the three months ended September 30, 2026 compared to the same period in 2025 primarily due to lower amortization of customer relationships and other agreements and rights due to the Versant Separation.</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depreciation and amortization expense decreased for the nine months ended September 30, 2026 compared to the same period in 2025 primarily due to lower amortization of customer relationships and other agreements and rights due to the Versant Separation, partially offset by increased depreciation due to the opening of Epic Universe in May 2025 and increased impairments of certain long-lived assets in the current year period compared to the prior year period.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Amortization expense from acquisition-related intangible assets totaled $524 million and $1.6 billion for the three and nine months ended September 30, 2026, respectively, and $824 million and $2.4 billion for the three and nine months ended September 30, 2025, respectively. Amounts primarily relate to intangible assets, including customer relationships and other agreements and rights, recorded in connection with the Sky transaction in 2018 and the NBCUniversal transaction in 2011.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pPr>
      <w:r>
        <w:rPr>
          <w:rFonts w:ascii="Helvetica;sans-serif" w:hAnsi="Helvetica;sans-serif"/>
          <w:b/>
          <w:color w:val="000000"/>
          <w:sz w:val="20"/>
        </w:rPr>
        <w:t xml:space="preserve">Consolidated interest expense </w:t>
      </w:r>
      <w:r>
        <w:rPr>
          <w:rFonts w:ascii="Times New Roman;serif" w:hAnsi="Times New Roman;serif"/>
          <w:b w:val="false"/>
          <w:color w:val="000000"/>
          <w:sz w:val="20"/>
        </w:rPr>
        <w:t>decreased for the three and nine months ended September 30, 2026 c</w:t>
      </w:r>
      <w:r>
        <w:rPr>
          <w:rFonts w:ascii="Times New Roman;serif" w:hAnsi="Times New Roman;serif"/>
          <w:b w:val="false"/>
          <w:color w:val="000000"/>
          <w:sz w:val="20"/>
          <w:shd w:fill="FFFFFF" w:val="clear"/>
        </w:rPr>
        <w:t xml:space="preserve">ompared to the same period in 2025 </w:t>
      </w:r>
      <w:r>
        <w:rPr>
          <w:rFonts w:ascii="Times New Roman;serif" w:hAnsi="Times New Roman;serif"/>
          <w:b w:val="false"/>
          <w:color w:val="000000"/>
          <w:sz w:val="20"/>
        </w:rPr>
        <w:t xml:space="preserve">primarily due to a decrease in average debt outstanding. </w:t>
      </w:r>
      <w:r>
        <w:rPr>
          <w:rFonts w:ascii="Times New Roman;serif" w:hAnsi="Times New Roman;serif"/>
          <w:b w:val="false"/>
          <w:color w:val="000000"/>
          <w:sz w:val="20"/>
          <w:shd w:fill="FFFFFF" w:val="clear"/>
        </w:rPr>
        <w:t xml:space="preserve">The decrease for the </w:t>
      </w:r>
      <w:r>
        <w:rPr>
          <w:rFonts w:ascii="Times New Roman;serif" w:hAnsi="Times New Roman;serif"/>
          <w:b w:val="false"/>
          <w:color w:val="000000"/>
          <w:sz w:val="20"/>
        </w:rPr>
        <w:t xml:space="preserve">nine months ended September 30, 2026 was partially offset by lower capitalized interest driven by the opening of Epic Universe. </w:t>
      </w:r>
    </w:p>
    <w:p>
      <w:pPr>
        <w:pStyle w:val="TextBody"/>
        <w:bidi w:val="0"/>
        <w:spacing w:lineRule="auto" w:line="288" w:before="60" w:after="120"/>
        <w:jc w:val="both"/>
        <w:rPr/>
      </w:pPr>
      <w:r>
        <w:rPr>
          <w:rFonts w:ascii="Helvetica;sans-serif" w:hAnsi="Helvetica;sans-serif"/>
          <w:b/>
          <w:color w:val="000000"/>
          <w:sz w:val="20"/>
        </w:rPr>
        <w:t xml:space="preserve">Consolidated investment and other income (loss), net </w:t>
      </w:r>
      <w:r>
        <w:rPr>
          <w:rFonts w:ascii="Times New Roman;serif" w:hAnsi="Times New Roman;serif"/>
          <w:b w:val="false"/>
          <w:color w:val="000000"/>
          <w:sz w:val="20"/>
          <w:shd w:fill="FFFFFF" w:val="clear"/>
        </w:rPr>
        <w:t xml:space="preserve">increased for the three months ended September 30, 2026 compared to the same period in 2025 and decreased for the </w:t>
      </w:r>
      <w:r>
        <w:rPr>
          <w:rFonts w:ascii="Times New Roman;serif" w:hAnsi="Times New Roman;serif"/>
          <w:b w:val="false"/>
          <w:color w:val="000000"/>
          <w:sz w:val="20"/>
        </w:rPr>
        <w:t>nine months ended September 30, 2026 compared to the same period in 2025</w:t>
      </w:r>
      <w:r>
        <w:rPr>
          <w:rFonts w:ascii="Times New Roman;serif" w:hAnsi="Times New Roman;serif"/>
          <w:b w:val="false"/>
          <w:color w:val="000000"/>
          <w:sz w:val="20"/>
          <w:shd w:fill="FFFFFF" w:val="clear"/>
        </w:rPr>
        <w:t>.</w:t>
      </w:r>
    </w:p>
    <w:tbl>
      <w:tblPr>
        <w:tblW w:w="9510" w:type="dxa"/>
        <w:jc w:val="center"/>
        <w:tblInd w:w="0" w:type="dxa"/>
        <w:tblLayout w:type="fixed"/>
        <w:tblCellMar>
          <w:top w:w="28" w:type="dxa"/>
          <w:left w:w="28" w:type="dxa"/>
          <w:bottom w:w="28" w:type="dxa"/>
          <w:right w:w="28" w:type="dxa"/>
        </w:tblCellMar>
      </w:tblPr>
      <w:tblGrid>
        <w:gridCol w:w="1881"/>
        <w:gridCol w:w="1652"/>
        <w:gridCol w:w="1657"/>
        <w:gridCol w:w="211"/>
        <w:gridCol w:w="466"/>
        <w:gridCol w:w="109"/>
        <w:gridCol w:w="109"/>
        <w:gridCol w:w="109"/>
        <w:gridCol w:w="109"/>
        <w:gridCol w:w="211"/>
        <w:gridCol w:w="436"/>
        <w:gridCol w:w="109"/>
        <w:gridCol w:w="109"/>
        <w:gridCol w:w="109"/>
        <w:gridCol w:w="109"/>
        <w:gridCol w:w="211"/>
        <w:gridCol w:w="481"/>
        <w:gridCol w:w="109"/>
        <w:gridCol w:w="109"/>
        <w:gridCol w:w="109"/>
        <w:gridCol w:w="109"/>
        <w:gridCol w:w="211"/>
        <w:gridCol w:w="631"/>
        <w:gridCol w:w="154"/>
      </w:tblGrid>
      <w:tr>
        <w:trPr/>
        <w:tc>
          <w:tcPr>
            <w:tcW w:w="1881"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5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(losses) of investees,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and unrealized gains (losses) on equity securities,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investment and other income (loss), net</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9,705</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pPr>
      <w:r>
        <w:rPr>
          <w:rFonts w:ascii="Times New Roman;serif" w:hAnsi="Times New Roman;serif"/>
          <w:b w:val="false"/>
          <w:color w:val="000000"/>
          <w:sz w:val="20"/>
        </w:rPr>
        <w:t xml:space="preserve">The changes in equity in net income (losses) of investees, net for the three and nine months ended September 30, 2026 compared to the same periods in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 xml:space="preserve">were primarily due to our investment in Atairos. </w:t>
      </w:r>
      <w:r>
        <w:rPr>
          <w:rFonts w:ascii="Times New Roman;serif" w:hAnsi="Times New Roman;serif"/>
          <w:b w:val="false"/>
          <w:color w:val="000000"/>
          <w:sz w:val="20"/>
          <w:shd w:fill="FFFFFF" w:val="clear"/>
        </w:rPr>
        <w:t xml:space="preserve">The income (losses) at Atairos were driven by fair value adjustments on its underlying investments with income (loss) of $172 million and $179 million for the three and nine months ended September 30, 2026, respectively, and $16 million and $(178) million for the three and nine months ended </w:t>
      </w:r>
      <w:r>
        <w:rPr>
          <w:rFonts w:ascii="Times New Roman;serif" w:hAnsi="Times New Roman;serif"/>
          <w:b w:val="false"/>
          <w:color w:val="000000"/>
          <w:sz w:val="20"/>
        </w:rPr>
        <w:t xml:space="preserve">September 30, 2025, </w:t>
      </w:r>
      <w:r>
        <w:rPr>
          <w:rFonts w:ascii="Times New Roman;serif" w:hAnsi="Times New Roman;serif"/>
          <w:b w:val="false"/>
          <w:color w:val="000000"/>
          <w:sz w:val="20"/>
          <w:shd w:fill="FFFFFF" w:val="clear"/>
        </w:rPr>
        <w:t>respectively.</w:t>
      </w:r>
    </w:p>
    <w:p>
      <w:pPr>
        <w:pStyle w:val="TextBody"/>
        <w:bidi w:val="0"/>
        <w:spacing w:lineRule="auto" w:line="288" w:before="60" w:after="120"/>
        <w:jc w:val="both"/>
        <w:rPr/>
      </w:pPr>
      <w:r>
        <w:rPr>
          <w:rFonts w:ascii="Times New Roman;serif" w:hAnsi="Times New Roman;serif"/>
          <w:b w:val="false"/>
          <w:color w:val="000000"/>
          <w:sz w:val="20"/>
          <w:shd w:fill="FFFFFF" w:val="clear"/>
        </w:rPr>
        <w:t>The change in realized and unrealized gains (losses) on equity securi</w:t>
      </w:r>
      <w:r>
        <w:rPr>
          <w:rFonts w:ascii="Times New Roman;serif" w:hAnsi="Times New Roman;serif"/>
          <w:b w:val="false"/>
          <w:color w:val="000000"/>
          <w:sz w:val="20"/>
        </w:rPr>
        <w:t>ties, net for the</w:t>
      </w:r>
      <w:r>
        <w:rPr>
          <w:color w:val="000000"/>
          <w:shd w:fill="FFFFFF" w:val="clear"/>
        </w:rPr>
        <w:t xml:space="preserve"> </w:t>
      </w:r>
      <w:r>
        <w:rPr>
          <w:rFonts w:ascii="Times New Roman;serif" w:hAnsi="Times New Roman;serif"/>
          <w:b w:val="false"/>
          <w:color w:val="000000"/>
          <w:sz w:val="20"/>
          <w:shd w:fill="FFFFFF" w:val="clear"/>
        </w:rPr>
        <w:t>three</w:t>
      </w:r>
      <w:r>
        <w:rPr>
          <w:color w:val="000000"/>
        </w:rPr>
        <w:t xml:space="preserve"> </w:t>
      </w:r>
      <w:r>
        <w:rPr>
          <w:rFonts w:ascii="Times New Roman;serif" w:hAnsi="Times New Roman;serif"/>
          <w:b w:val="false"/>
          <w:color w:val="000000"/>
          <w:sz w:val="20"/>
        </w:rPr>
        <w:t>months ended September 30, 2026</w:t>
      </w:r>
      <w:r>
        <w:rPr>
          <w:color w:val="000000"/>
          <w:shd w:fill="FFFFFF" w:val="clear"/>
        </w:rPr>
        <w:t xml:space="preserve"> </w:t>
      </w:r>
      <w:r>
        <w:rPr>
          <w:rFonts w:ascii="Times New Roman;serif" w:hAnsi="Times New Roman;serif"/>
          <w:b w:val="false"/>
          <w:color w:val="000000"/>
          <w:sz w:val="20"/>
          <w:shd w:fill="FFFFFF" w:val="clear"/>
        </w:rPr>
        <w:t>was primarily due to higher net unrealized losses on nonmarketable securities in the prior year period. The change in realized and unrealized gains (losses) on equity securi</w:t>
      </w:r>
      <w:r>
        <w:rPr>
          <w:rFonts w:ascii="Times New Roman;serif" w:hAnsi="Times New Roman;serif"/>
          <w:b w:val="false"/>
          <w:color w:val="000000"/>
          <w:sz w:val="20"/>
        </w:rPr>
        <w:t>ties, net for the</w:t>
      </w:r>
      <w:r>
        <w:rPr>
          <w:color w:val="000000"/>
          <w:shd w:fill="FFFFFF" w:val="clear"/>
        </w:rPr>
        <w:t xml:space="preserve"> </w:t>
      </w:r>
      <w:r>
        <w:rPr>
          <w:rFonts w:ascii="Times New Roman;serif" w:hAnsi="Times New Roman;serif"/>
          <w:b w:val="false"/>
          <w:color w:val="000000"/>
          <w:sz w:val="20"/>
          <w:shd w:fill="FFFFFF" w:val="clear"/>
        </w:rPr>
        <w:t>nine</w:t>
      </w:r>
      <w:r>
        <w:rPr>
          <w:color w:val="000000"/>
        </w:rPr>
        <w:t xml:space="preserve"> </w:t>
      </w:r>
      <w:r>
        <w:rPr>
          <w:rFonts w:ascii="Times New Roman;serif" w:hAnsi="Times New Roman;serif"/>
          <w:b w:val="false"/>
          <w:color w:val="000000"/>
          <w:sz w:val="20"/>
        </w:rPr>
        <w:t>months ended September 30, 2026</w:t>
      </w:r>
      <w:r>
        <w:rPr>
          <w:color w:val="000000"/>
          <w:shd w:fill="FFFFFF" w:val="clear"/>
        </w:rPr>
        <w:t xml:space="preserve"> </w:t>
      </w:r>
      <w:r>
        <w:rPr>
          <w:rFonts w:ascii="Times New Roman;serif" w:hAnsi="Times New Roman;serif"/>
          <w:b w:val="false"/>
          <w:color w:val="000000"/>
          <w:sz w:val="20"/>
          <w:shd w:fill="FFFFFF" w:val="clear"/>
        </w:rPr>
        <w:t>was primarily due to a gain on the sale of a nonmarketable security in the prior year period.</w:t>
      </w:r>
    </w:p>
    <w:p>
      <w:pPr>
        <w:pStyle w:val="TextBody"/>
        <w:bidi w:val="0"/>
        <w:spacing w:lineRule="auto" w:line="288" w:before="60" w:after="120"/>
        <w:jc w:val="both"/>
        <w:rPr/>
      </w:pPr>
      <w:r>
        <w:rPr>
          <w:rFonts w:ascii="Times New Roman;serif" w:hAnsi="Times New Roman;serif"/>
          <w:b w:val="false"/>
          <w:color w:val="000000"/>
          <w:sz w:val="20"/>
        </w:rPr>
        <w:t>The change in other income (loss), net for the three</w:t>
      </w:r>
      <w:r>
        <w:rPr>
          <w:color w:val="000000"/>
          <w:shd w:fill="FFFFFF" w:val="clear"/>
        </w:rPr>
        <w:t xml:space="preserve"> </w:t>
      </w:r>
      <w:r>
        <w:rPr>
          <w:rFonts w:ascii="Times New Roman;serif" w:hAnsi="Times New Roman;serif"/>
          <w:b w:val="false"/>
          <w:color w:val="000000"/>
          <w:sz w:val="20"/>
        </w:rPr>
        <w:t>months ended September 30, 2026 primarily resulted from a gain on the sale of an equity method investment in the prior year period compared to a loss in the current year period, gains from insurance contracts in the prior year period compared to a loss in the current year period, and foreign exchange remeasurement gains in the prior year period. The change in other income (loss), net for the nine</w:t>
      </w:r>
      <w:r>
        <w:rPr>
          <w:color w:val="000000"/>
          <w:shd w:fill="FFFFFF" w:val="clear"/>
        </w:rPr>
        <w:t xml:space="preserve"> </w:t>
      </w:r>
      <w:r>
        <w:rPr>
          <w:rFonts w:ascii="Times New Roman;serif" w:hAnsi="Times New Roman;serif"/>
          <w:b w:val="false"/>
          <w:color w:val="000000"/>
          <w:sz w:val="20"/>
        </w:rPr>
        <w:t xml:space="preserve">months ended September 30, 2026 primarily resulted from a </w:t>
      </w:r>
      <w:r>
        <w:rPr>
          <w:rFonts w:ascii="Times New Roman;serif" w:hAnsi="Times New Roman;serif"/>
          <w:b w:val="false"/>
          <w:color w:val="000000"/>
          <w:sz w:val="20"/>
          <w:shd w:fill="FFFFFF" w:val="clear"/>
        </w:rPr>
        <w:t>$9.4 billion</w:t>
      </w:r>
      <w:r>
        <w:rPr>
          <w:color w:val="000000"/>
        </w:rPr>
        <w:t xml:space="preserve"> </w:t>
      </w:r>
      <w:r>
        <w:rPr>
          <w:rFonts w:ascii="Times New Roman;serif" w:hAnsi="Times New Roman;serif"/>
          <w:b w:val="false"/>
          <w:color w:val="000000"/>
          <w:sz w:val="20"/>
        </w:rPr>
        <w:t xml:space="preserve">pre-tax gain from the sale of our interest in Hulu in the prior year period </w:t>
      </w:r>
      <w:r>
        <w:rPr>
          <w:rFonts w:ascii="Times New Roman;serif" w:hAnsi="Times New Roman;serif"/>
          <w:b w:val="false"/>
          <w:color w:val="000000"/>
          <w:sz w:val="20"/>
          <w:shd w:fill="FFFFFF" w:val="clear"/>
        </w:rPr>
        <w:t>(see Note 7)</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4" name="Frame2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60" w:after="12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lineRule="auto" w:line="288" w:before="60" w:after="120"/>
        <w:jc w:val="both"/>
        <w:rPr/>
      </w:pPr>
      <w:r>
        <w:rPr>
          <w:rFonts w:ascii="Helvetica;sans-serif" w:hAnsi="Helvetica;sans-serif"/>
          <w:b/>
          <w:color w:val="000000"/>
          <w:sz w:val="20"/>
          <w:shd w:fill="FFFFFF" w:val="clear"/>
        </w:rPr>
        <w:t>Consolidated income tax expense</w:t>
      </w:r>
      <w:r>
        <w:rPr>
          <w:color w:val="000000"/>
          <w:shd w:fill="FFFFFF" w:val="clear"/>
        </w:rPr>
        <w:t xml:space="preserve"> </w:t>
      </w:r>
      <w:r>
        <w:rPr>
          <w:rFonts w:ascii="Times New Roman;serif" w:hAnsi="Times New Roman;serif"/>
          <w:b w:val="false"/>
          <w:color w:val="000000"/>
          <w:sz w:val="20"/>
          <w:shd w:fill="FFFFFF" w:val="clear"/>
        </w:rPr>
        <w:t xml:space="preserve">for the three and nine months ended September 30, 2026 and 2025 reflects an effective income tax rate that differs from the federal statutory rate due to state and foreign income taxes and adjustments associated with uncertain tax positions. The decrease in income tax expense for the </w:t>
      </w:r>
      <w:r>
        <w:rPr>
          <w:rFonts w:ascii="Times New Roman;serif" w:hAnsi="Times New Roman;serif"/>
          <w:b w:val="false"/>
          <w:color w:val="000000"/>
          <w:sz w:val="20"/>
        </w:rPr>
        <w:t xml:space="preserve">three months ended </w:t>
      </w:r>
      <w:r>
        <w:rPr>
          <w:rFonts w:ascii="Times New Roman;serif" w:hAnsi="Times New Roman;serif"/>
          <w:b w:val="false"/>
          <w:color w:val="000000"/>
          <w:sz w:val="20"/>
          <w:shd w:fill="FFFFFF" w:val="clear"/>
        </w:rPr>
        <w:t xml:space="preserve">September 30, 2026 compared to the same period in 2025 was primarily driven by </w:t>
      </w:r>
      <w:r>
        <w:rPr>
          <w:rFonts w:ascii="Times New Roman;serif" w:hAnsi="Times New Roman;serif"/>
          <w:b w:val="false"/>
          <w:color w:val="000000"/>
          <w:sz w:val="20"/>
        </w:rPr>
        <w:t>the timing and amount of third-party transferable tax credit purchases</w:t>
      </w:r>
      <w:r>
        <w:rPr>
          <w:rFonts w:ascii="Times New Roman;serif" w:hAnsi="Times New Roman;serif"/>
          <w:b w:val="false"/>
          <w:color w:val="000000"/>
          <w:sz w:val="20"/>
          <w:shd w:fill="FFFFFF" w:val="clear"/>
        </w:rPr>
        <w:t xml:space="preserve">. The decrease in income tax expense for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months ended September 30, 2026 compared to the same period in 2025 was primarily driven by lower domestic income before income taxes.</w:t>
      </w:r>
    </w:p>
    <w:p>
      <w:pPr>
        <w:pStyle w:val="TextBody"/>
        <w:bidi w:val="0"/>
        <w:spacing w:lineRule="auto" w:line="288" w:before="60" w:after="120"/>
        <w:jc w:val="both"/>
        <w:rPr/>
      </w:pPr>
      <w:r>
        <w:rPr>
          <w:rFonts w:ascii="Helvetica;sans-serif" w:hAnsi="Helvetica;sans-serif"/>
          <w:b/>
          <w:color w:val="000000"/>
          <w:sz w:val="20"/>
          <w:shd w:fill="FFFFFF" w:val="clear"/>
        </w:rPr>
        <w:t>Consolidated net income (loss) attributable to noncontrolling interests</w:t>
      </w:r>
      <w:r>
        <w:rPr>
          <w:color w:val="000000"/>
        </w:rPr>
        <w:t xml:space="preserve"> </w:t>
      </w:r>
      <w:r>
        <w:rPr>
          <w:rFonts w:ascii="Times New Roman;serif" w:hAnsi="Times New Roman;serif"/>
          <w:b w:val="false"/>
          <w:color w:val="000000"/>
          <w:sz w:val="20"/>
        </w:rPr>
        <w:t>changed</w:t>
      </w:r>
      <w:r>
        <w:rPr>
          <w:color w:val="000000"/>
          <w:shd w:fill="FFFFFF" w:val="clear"/>
        </w:rPr>
        <w:t xml:space="preserve"> </w:t>
      </w:r>
      <w:r>
        <w:rPr>
          <w:rFonts w:ascii="Times New Roman;serif" w:hAnsi="Times New Roman;serif"/>
          <w:b w:val="false"/>
          <w:color w:val="000000"/>
          <w:sz w:val="20"/>
          <w:shd w:fill="FFFFFF" w:val="clear"/>
        </w:rPr>
        <w:t>f</w:t>
      </w:r>
      <w:r>
        <w:rPr>
          <w:rFonts w:ascii="Times New Roman;serif" w:hAnsi="Times New Roman;serif"/>
          <w:b w:val="false"/>
          <w:color w:val="000000"/>
          <w:sz w:val="20"/>
        </w:rPr>
        <w:t xml:space="preserve">or the three months ended </w:t>
      </w:r>
      <w:r>
        <w:rPr>
          <w:rFonts w:ascii="Times New Roman;serif" w:hAnsi="Times New Roman;serif"/>
          <w:b w:val="false"/>
          <w:color w:val="000000"/>
          <w:sz w:val="20"/>
          <w:shd w:fill="FFFFFF" w:val="clear"/>
        </w:rPr>
        <w:t xml:space="preserve">September 30, 2026 </w:t>
      </w:r>
      <w:r>
        <w:rPr>
          <w:rFonts w:ascii="Times New Roman;serif" w:hAnsi="Times New Roman;serif"/>
          <w:b w:val="false"/>
          <w:color w:val="000000"/>
          <w:sz w:val="20"/>
        </w:rPr>
        <w:t xml:space="preserve">compared to the same period in </w:t>
      </w:r>
      <w:r>
        <w:rPr>
          <w:rFonts w:ascii="Times New Roman;serif" w:hAnsi="Times New Roman;serif"/>
          <w:b w:val="false"/>
          <w:color w:val="000000"/>
          <w:sz w:val="20"/>
          <w:shd w:fill="FFFFFF" w:val="clear"/>
        </w:rPr>
        <w:t xml:space="preserve">2025 primarily due to our production and licensing of stage plays and our regional sports networks, partially offset by Universal Beijing Resort. Consolidated net income (loss) attributable to noncontrolling interests changed for the </w:t>
      </w:r>
      <w:r>
        <w:rPr>
          <w:rFonts w:ascii="Times New Roman;serif" w:hAnsi="Times New Roman;serif"/>
          <w:b w:val="false"/>
          <w:color w:val="000000"/>
          <w:sz w:val="20"/>
        </w:rPr>
        <w:t xml:space="preserve">nine months ended </w:t>
      </w:r>
      <w:r>
        <w:rPr>
          <w:rFonts w:ascii="Times New Roman;serif" w:hAnsi="Times New Roman;serif"/>
          <w:b w:val="false"/>
          <w:color w:val="000000"/>
          <w:sz w:val="20"/>
          <w:shd w:fill="FFFFFF" w:val="clear"/>
        </w:rPr>
        <w:t xml:space="preserve">September 30, 2026 </w:t>
      </w:r>
      <w:r>
        <w:rPr>
          <w:rFonts w:ascii="Times New Roman;serif" w:hAnsi="Times New Roman;serif"/>
          <w:b w:val="false"/>
          <w:color w:val="000000"/>
          <w:sz w:val="20"/>
        </w:rPr>
        <w:t xml:space="preserve">compared to the same period in </w:t>
      </w:r>
      <w:r>
        <w:rPr>
          <w:rFonts w:ascii="Times New Roman;serif" w:hAnsi="Times New Roman;serif"/>
          <w:b w:val="false"/>
          <w:color w:val="000000"/>
          <w:sz w:val="20"/>
          <w:shd w:fill="FFFFFF" w:val="clear"/>
        </w:rPr>
        <w:t>2025 primarily due to our regional sports networks, Universal Beijing Resort and our production and licensing of stage plays.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5" name="Frame2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60" w:after="12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lineRule="auto" w:line="288" w:before="240" w:after="60"/>
        <w:jc w:val="left"/>
        <w:rPr>
          <w:rFonts w:ascii="Helvetica;sans-serif" w:hAnsi="Helvetica;sans-serif"/>
          <w:b/>
          <w:color w:val="000000"/>
          <w:sz w:val="24"/>
        </w:rPr>
      </w:pPr>
      <w:r>
        <w:rPr>
          <w:rFonts w:ascii="Helvetica;sans-serif" w:hAnsi="Helvetica;sans-serif"/>
          <w:b/>
          <w:color w:val="000000"/>
          <w:sz w:val="24"/>
        </w:rPr>
        <w:t>Segment Operating Results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segment operating results are presented based on how we assess operating performance and internally report financial information. See Note 2 for additional information on our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10" w:after="283"/>
        <w:jc w:val="left"/>
        <w:rPr>
          <w:rFonts w:ascii="Helvetica;sans-serif" w:hAnsi="Helvetica;sans-serif"/>
          <w:b/>
          <w:color w:val="000000"/>
          <w:sz w:val="24"/>
        </w:rPr>
      </w:pPr>
      <w:r>
        <w:rPr>
          <w:rFonts w:ascii="Helvetica;sans-serif" w:hAnsi="Helvetica;sans-serif"/>
          <w:b/>
          <w:color w:val="000000"/>
          <w:sz w:val="24"/>
        </w:rPr>
        <w:t>Connectivity &amp; Platforms Results of Operations</w:t>
      </w:r>
    </w:p>
    <w:tbl>
      <w:tblPr>
        <w:tblW w:w="10205" w:type="dxa"/>
        <w:jc w:val="center"/>
        <w:tblInd w:w="0" w:type="dxa"/>
        <w:tblLayout w:type="fixed"/>
        <w:tblCellMar>
          <w:top w:w="28" w:type="dxa"/>
          <w:left w:w="28" w:type="dxa"/>
          <w:bottom w:w="28" w:type="dxa"/>
          <w:right w:w="28" w:type="dxa"/>
        </w:tblCellMar>
      </w:tblPr>
      <w:tblGrid>
        <w:gridCol w:w="651"/>
        <w:gridCol w:w="500"/>
        <w:gridCol w:w="399"/>
        <w:gridCol w:w="284"/>
        <w:gridCol w:w="242"/>
        <w:gridCol w:w="497"/>
        <w:gridCol w:w="284"/>
        <w:gridCol w:w="242"/>
        <w:gridCol w:w="497"/>
        <w:gridCol w:w="109"/>
        <w:gridCol w:w="109"/>
        <w:gridCol w:w="109"/>
        <w:gridCol w:w="212"/>
        <w:gridCol w:w="213"/>
        <w:gridCol w:w="367"/>
        <w:gridCol w:w="279"/>
        <w:gridCol w:w="182"/>
        <w:gridCol w:w="507"/>
        <w:gridCol w:w="109"/>
        <w:gridCol w:w="109"/>
        <w:gridCol w:w="109"/>
        <w:gridCol w:w="284"/>
        <w:gridCol w:w="242"/>
        <w:gridCol w:w="497"/>
        <w:gridCol w:w="284"/>
        <w:gridCol w:w="242"/>
        <w:gridCol w:w="497"/>
        <w:gridCol w:w="109"/>
        <w:gridCol w:w="109"/>
        <w:gridCol w:w="109"/>
        <w:gridCol w:w="213"/>
        <w:gridCol w:w="214"/>
        <w:gridCol w:w="367"/>
        <w:gridCol w:w="280"/>
        <w:gridCol w:w="176"/>
        <w:gridCol w:w="572"/>
      </w:tblGrid>
      <w:tr>
        <w:trPr/>
        <w:tc>
          <w:tcPr>
            <w:tcW w:w="65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96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Constant Currency Change</w:t>
            </w:r>
            <w:r>
              <w:rPr>
                <w:rFonts w:ascii="Times New Roman;serif" w:hAnsi="Times New Roman;serif"/>
                <w:b w:val="false"/>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10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Constant Currency Change</w:t>
            </w:r>
            <w:r>
              <w:rPr>
                <w:rFonts w:ascii="Times New Roman;serif" w:hAnsi="Times New Roman;serif"/>
                <w:b w:val="false"/>
                <w:color w:val="000000"/>
                <w:sz w:val="10"/>
              </w:rPr>
              <w:t>(b)</w:t>
            </w:r>
          </w:p>
        </w:tc>
      </w:tr>
      <w:tr>
        <w:trPr/>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Connectivity &amp; Platforms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17,018</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51,464</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Services Connectivity</w:t>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w:t>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7,956</w:t>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Connectivity &amp; Platforms revenue</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19,663</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20,212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59,420</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60,787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Connectivity &amp; Platforms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6,110</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18,992</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Services Connectivity</w:t>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w:t>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w:t>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Connectivity &amp; Platforms Adjusted EBITDA</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7,588</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7,938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23,463</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24,652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EBITDA Margin</w:t>
            </w:r>
            <w:r>
              <w:rPr>
                <w:rFonts w:ascii="Times New Roman;serif" w:hAnsi="Times New Roman;serif"/>
                <w:b/>
                <w:color w:val="000000"/>
                <w:sz w:val="13"/>
              </w:rPr>
              <w:t>(a)</w:t>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Connectivity &amp; Platforms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bps</w:t>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bps</w:t>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bps</w:t>
            </w:r>
          </w:p>
        </w:tc>
      </w:tr>
      <w:tr>
        <w:trPr/>
        <w:tc>
          <w:tcPr>
            <w:tcW w:w="1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Services Connectivity</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bps</w:t>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bps</w:t>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(30) bps</w:t>
            </w:r>
          </w:p>
        </w:tc>
      </w:tr>
      <w:tr>
        <w:trPr/>
        <w:tc>
          <w:tcPr>
            <w:tcW w:w="15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Connectivity &amp; Platforms Adjusted EBITDA margin</w:t>
            </w:r>
          </w:p>
        </w:tc>
        <w:tc>
          <w:tcPr>
            <w:tcW w:w="5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w:t>
            </w:r>
            <w:r>
              <w:rPr>
                <w:color w:val="000000"/>
              </w:rPr>
              <w:t> </w:t>
            </w:r>
          </w:p>
        </w:tc>
        <w:tc>
          <w:tcPr>
            <w:tcW w:w="4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39.3</w:t>
            </w:r>
            <w:r>
              <w:rPr>
                <w:color w:val="000000"/>
              </w:rPr>
              <w:t> </w:t>
            </w:r>
          </w:p>
        </w:tc>
        <w:tc>
          <w:tcPr>
            <w:tcW w:w="4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 bps</w:t>
            </w:r>
          </w:p>
        </w:tc>
        <w:tc>
          <w:tcPr>
            <w:tcW w:w="96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 bps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39.5</w:t>
            </w:r>
            <w:r>
              <w:rPr>
                <w:color w:val="000000"/>
              </w:rPr>
              <w:t> </w:t>
            </w:r>
          </w:p>
        </w:tc>
        <w:tc>
          <w:tcPr>
            <w:tcW w:w="4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40.6</w:t>
            </w:r>
            <w:r>
              <w:rPr>
                <w:color w:val="000000"/>
              </w:rPr>
              <w:t> </w:t>
            </w:r>
          </w:p>
        </w:tc>
        <w:tc>
          <w:tcPr>
            <w:tcW w:w="4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 bps</w:t>
            </w:r>
          </w:p>
        </w:tc>
        <w:tc>
          <w:tcPr>
            <w:tcW w:w="102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 bps</w:t>
            </w:r>
          </w:p>
        </w:tc>
      </w:tr>
    </w:tbl>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(a)Our Adjusted EBITDA margin is Adjusted EBITDA as a percentage of revenue. We believe this metric is useful particularly as we continue to focus on growing our higher-margin businesses and improving overall operating cost management. The changes reflect the year-over-year basis point changes in the rounded Adjusted EBITDA margins. </w:t>
      </w:r>
    </w:p>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(b)Constant currency is a non-GAAP financial measure. Refer to the “Non-GAAP Financial Measures” section on page 30 for additional information, including our definition and our use of constant currency, and for a reconciliation of constant currency amounts.</w:t>
      </w:r>
    </w:p>
    <w:p>
      <w:pPr>
        <w:pStyle w:val="TextBody"/>
        <w:bidi w:val="0"/>
        <w:spacing w:lineRule="auto" w:line="288" w:before="0" w:after="120"/>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We continue to focus on growing our higher-margin connectivity businesses while managing overall operating costs, including through cost saving initiatives designed to simplify our operations and improve efficiency. We also continue to invest in our network to support higher-speed broadband offerings and to expand the number of residential and business passings. Our customer relationship net additions/(losses) continue to be negatively impacted by an increasingly competitive environment. We are focused on increasing our residential connectivity revenue. In 2025, we simplified our broadband pricing structure and began offering a free wireless line for one year to new and existing domestic broadband customers, which we expect will improve customer retention and strengthen our ability to compete for new customers, but will negatively impact average domestic broadband revenue per customer. We also expect continued declines in video revenue as a result of domestic customer net losses due to shifting video consumption patterns and the competitive environment, although customer net losses typically mitigate the impact of continued rate increases on programming expenses, as well as continued declines in other revenue related to declines in wireline voice revenue. We are also focused on growing our Business Services Connectivity segment revenue by offering competitive services, including enterprise solutions, and driving higher adoption of our advanced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6" name="Frame2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60" w:after="12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lineRule="auto" w:line="288" w:before="60" w:after="120"/>
        <w:jc w:val="left"/>
        <w:rPr>
          <w:rFonts w:ascii="Helvetica;sans-serif" w:hAnsi="Helvetica;sans-serif"/>
          <w:b/>
          <w:color w:val="000000"/>
          <w:sz w:val="20"/>
          <w:shd w:fill="FFFFFF" w:val="clear"/>
        </w:rPr>
      </w:pPr>
      <w:r>
        <w:rPr>
          <w:rFonts w:ascii="Helvetica;sans-serif" w:hAnsi="Helvetica;sans-serif"/>
          <w:b/>
          <w:color w:val="000000"/>
          <w:sz w:val="20"/>
          <w:shd w:fill="FFFFFF" w:val="clear"/>
        </w:rPr>
        <w:t>Connectivity &amp; Platforms Customer Metrics</w:t>
      </w:r>
    </w:p>
    <w:tbl>
      <w:tblPr>
        <w:tblW w:w="10205" w:type="dxa"/>
        <w:jc w:val="left"/>
        <w:tblInd w:w="0" w:type="dxa"/>
        <w:tblLayout w:type="fixed"/>
        <w:tblCellMar>
          <w:top w:w="28" w:type="dxa"/>
          <w:left w:w="28" w:type="dxa"/>
          <w:bottom w:w="28" w:type="dxa"/>
          <w:right w:w="28" w:type="dxa"/>
        </w:tblCellMar>
      </w:tblPr>
      <w:tblGrid>
        <w:gridCol w:w="1769"/>
        <w:gridCol w:w="1551"/>
        <w:gridCol w:w="1563"/>
        <w:gridCol w:w="360"/>
        <w:gridCol w:w="361"/>
        <w:gridCol w:w="296"/>
        <w:gridCol w:w="360"/>
        <w:gridCol w:w="361"/>
        <w:gridCol w:w="296"/>
        <w:gridCol w:w="267"/>
        <w:gridCol w:w="255"/>
        <w:gridCol w:w="228"/>
        <w:gridCol w:w="267"/>
        <w:gridCol w:w="255"/>
        <w:gridCol w:w="218"/>
        <w:gridCol w:w="308"/>
        <w:gridCol w:w="308"/>
        <w:gridCol w:w="213"/>
        <w:gridCol w:w="335"/>
        <w:gridCol w:w="337"/>
        <w:gridCol w:w="297"/>
      </w:tblGrid>
      <w:tr>
        <w:trPr/>
        <w:tc>
          <w:tcPr>
            <w:tcW w:w="1769"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 Additions / (Losses)</w:t>
            </w:r>
          </w:p>
        </w:tc>
      </w:tr>
      <w:tr>
        <w:trPr/>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r>
          </w:p>
        </w:tc>
        <w:tc>
          <w:tcPr>
            <w:tcW w:w="149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17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r>
      <w:tr>
        <w:trPr/>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Residential Connectivity &amp; Platforms Customer Relationships</w:t>
            </w:r>
            <w:r>
              <w:rPr>
                <w:rFonts w:ascii="Times New Roman;serif" w:hAnsi="Times New Roman;serif"/>
                <w:b/>
                <w:color w:val="000000"/>
                <w:sz w:val="13"/>
              </w:rPr>
              <w:t>(a)</w:t>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Residential Connectivity &amp; Platforms customer relationships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International Residential Connectivity &amp; Platforms customer relationships</w:t>
            </w:r>
            <w:r>
              <w:rPr>
                <w:rFonts w:ascii="Times New Roman;serif" w:hAnsi="Times New Roman;serif"/>
                <w:b w:val="false"/>
                <w:color w:val="000000"/>
                <w:sz w:val="13"/>
              </w:rPr>
              <w:t>(b)</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Residential Connectivity &amp; Platforms customer relationships</w:t>
            </w:r>
            <w:r>
              <w:rPr>
                <w:rFonts w:ascii="Times New Roman;serif" w:hAnsi="Times New Roman;serif"/>
                <w:b w:val="false"/>
                <w:color w:val="000000"/>
                <w:sz w:val="13"/>
              </w:rPr>
              <w:t>(b)</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Domestic Residential Broadband</w:t>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broadband residential customers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Domestic residential passings</w:t>
            </w:r>
            <w:r>
              <w:rPr>
                <w:rFonts w:ascii="Times New Roman;serif" w:hAnsi="Times New Roman;serif"/>
                <w:b w:val="false"/>
                <w:color w:val="000000"/>
                <w:sz w:val="13"/>
              </w:rPr>
              <w:t>(c)</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58,641 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Domestic broadband residential penetration of residential passings</w:t>
            </w:r>
            <w:r>
              <w:rPr>
                <w:rFonts w:ascii="Times New Roman;serif" w:hAnsi="Times New Roman;serif"/>
                <w:b w:val="false"/>
                <w:color w:val="000000"/>
                <w:sz w:val="13"/>
              </w:rPr>
              <w:t>(d)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Domestic Wireless </w:t>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Domestic wireless lines</w:t>
            </w:r>
            <w:r>
              <w:rPr>
                <w:rFonts w:ascii="Times New Roman;serif" w:hAnsi="Times New Roman;serif"/>
                <w:b w:val="false"/>
                <w:color w:val="000000"/>
                <w:sz w:val="13"/>
              </w:rPr>
              <w:t>(e)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Domestic Video</w:t>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video customers</w:t>
            </w:r>
          </w:p>
        </w:tc>
        <w:tc>
          <w:tcPr>
            <w:tcW w:w="7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10,394 </w:t>
            </w:r>
          </w:p>
        </w:tc>
        <w:tc>
          <w:tcPr>
            <w:tcW w:w="2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11,515</w:t>
            </w:r>
          </w:p>
        </w:tc>
        <w:tc>
          <w:tcPr>
            <w:tcW w:w="52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22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21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w:t>
            </w:r>
          </w:p>
        </w:tc>
        <w:tc>
          <w:tcPr>
            <w:tcW w:w="21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29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4883"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4883"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(a)Residential Connectivity &amp; Platforms customer relationships generally represent the number of residential customers that subscribe to at least one of our services. International Residential Connectivity &amp; Platforms customer relationships represent customers receiving Sky services in the United Kingdom and Italy. Because each of our services includes a variety of product tiers, which may change from time to time, net additions or losses in any one period will reflect a mix of customers at various tiers. </w:t>
      </w:r>
    </w:p>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(b)Total Residential Connectivity &amp; Platforms customer relationships and International Residential Connectivity &amp; Platforms customer relationships were updated in the first quarter of 2026 due to a conforming change in methodology, resulting in a decrease of 125,000 customers. There was no impact to net additions and information for the prior periods has been recast on a comparable basis.</w:t>
      </w:r>
    </w:p>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(c)Connectivity &amp; Platforms domestic residential passings are considered passings if we can connect them to our network in the United States without further extending the transmission lines. The number of domestic residential passings is an estimate based on the best available information.</w:t>
      </w:r>
    </w:p>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(d)Penetration is calculated by dividing the number of domestic broadband residential customers located within our network by the number of domestic residential passings.</w:t>
      </w:r>
    </w:p>
    <w:p>
      <w:pPr>
        <w:pStyle w:val="TextBody"/>
        <w:bidi w:val="0"/>
        <w:spacing w:lineRule="auto" w:line="288" w:before="0" w:after="40"/>
        <w:ind w:left="0" w:right="0" w:hanging="270"/>
        <w:jc w:val="both"/>
        <w:rPr/>
      </w:pPr>
      <w:r>
        <w:rPr>
          <w:rFonts w:ascii="Times New Roman;serif" w:hAnsi="Times New Roman;serif"/>
          <w:b w:val="false"/>
          <w:color w:val="000000"/>
          <w:sz w:val="16"/>
          <w:shd w:fill="FFFFFF" w:val="clear"/>
        </w:rPr>
        <w:t>(e)Domestic wireless lines represent the number of residential and business customers</w:t>
      </w:r>
      <w:r>
        <w:rPr>
          <w:color w:val="000000"/>
        </w:rPr>
        <w:t>’</w:t>
      </w:r>
      <w:r>
        <w:rPr>
          <w:color w:val="000000"/>
          <w:shd w:fill="FFFFFF" w:val="clear"/>
        </w:rPr>
        <w:t xml:space="preserve"> </w:t>
      </w:r>
      <w:r>
        <w:rPr>
          <w:rFonts w:ascii="Times New Roman;serif" w:hAnsi="Times New Roman;serif"/>
          <w:b w:val="false"/>
          <w:color w:val="000000"/>
          <w:sz w:val="16"/>
          <w:shd w:fill="FFFFFF" w:val="clear"/>
        </w:rPr>
        <w:t>wireless devices. An individual customer relationship may have multiple wireless lines.</w:t>
      </w:r>
    </w:p>
    <w:p>
      <w:pPr>
        <w:pStyle w:val="TextBody"/>
        <w:bidi w:val="0"/>
        <w:spacing w:lineRule="auto" w:line="288" w:before="0" w:after="108"/>
        <w:jc w:val="both"/>
        <w:rPr>
          <w:rFonts w:ascii="Helvetica;sans-serif" w:hAnsi="Helvetica;sans-serif"/>
          <w:b/>
          <w:color w:val="000000"/>
          <w:sz w:val="20"/>
          <w:shd w:fill="FFFFFF" w:val="clear"/>
        </w:rPr>
      </w:pPr>
      <w:r>
        <w:rPr>
          <w:rFonts w:ascii="Helvetica;sans-serif" w:hAnsi="Helvetica;sans-serif"/>
          <w:b/>
          <w:color w:val="000000"/>
          <w:sz w:val="20"/>
          <w:shd w:fill="FFFFFF" w:val="clear"/>
        </w:rPr>
        <w:t>Connectivity &amp; Platforms — Supplemental Costs and Expenses Information</w:t>
      </w:r>
    </w:p>
    <w:p>
      <w:pPr>
        <w:pStyle w:val="TextBody"/>
        <w:bidi w:val="0"/>
        <w:spacing w:lineRule="auto" w:line="288" w:before="36" w:after="108"/>
        <w:jc w:val="both"/>
        <w:rPr>
          <w:rFonts w:ascii="Times New Roman;serif" w:hAnsi="Times New Roman;serif"/>
          <w:b w:val="false"/>
          <w:color w:val="000000"/>
          <w:sz w:val="20"/>
        </w:rPr>
      </w:pPr>
      <w:r>
        <w:rPr>
          <w:rFonts w:ascii="Times New Roman;serif" w:hAnsi="Times New Roman;serif"/>
          <w:b w:val="false"/>
          <w:color w:val="000000"/>
          <w:sz w:val="20"/>
        </w:rPr>
        <w:t xml:space="preserve">Connectivity &amp; Platforms supplemental costs and expenses information in the table below is presented on an aggregate basis across the Connectivity &amp; Platforms segments as the segments use certain shared infrastructure, including our network in the United States. Costs and expenses information reported separately for the Residential Connectivity &amp; Platforms and Business Services Connectivity segments includes each segment’s direct costs and an allocation of shared costs. </w:t>
      </w:r>
    </w:p>
    <w:tbl>
      <w:tblPr>
        <w:tblW w:w="10205" w:type="dxa"/>
        <w:jc w:val="left"/>
        <w:tblInd w:w="0" w:type="dxa"/>
        <w:tblLayout w:type="fixed"/>
        <w:tblCellMar>
          <w:top w:w="28" w:type="dxa"/>
          <w:left w:w="28" w:type="dxa"/>
          <w:bottom w:w="28" w:type="dxa"/>
          <w:right w:w="28" w:type="dxa"/>
        </w:tblCellMar>
      </w:tblPr>
      <w:tblGrid>
        <w:gridCol w:w="669"/>
        <w:gridCol w:w="328"/>
        <w:gridCol w:w="258"/>
        <w:gridCol w:w="211"/>
        <w:gridCol w:w="736"/>
        <w:gridCol w:w="109"/>
        <w:gridCol w:w="109"/>
        <w:gridCol w:w="109"/>
        <w:gridCol w:w="109"/>
        <w:gridCol w:w="211"/>
        <w:gridCol w:w="736"/>
        <w:gridCol w:w="109"/>
        <w:gridCol w:w="254"/>
        <w:gridCol w:w="257"/>
        <w:gridCol w:w="367"/>
        <w:gridCol w:w="355"/>
        <w:gridCol w:w="161"/>
        <w:gridCol w:w="450"/>
        <w:gridCol w:w="109"/>
        <w:gridCol w:w="109"/>
        <w:gridCol w:w="109"/>
        <w:gridCol w:w="211"/>
        <w:gridCol w:w="736"/>
        <w:gridCol w:w="109"/>
        <w:gridCol w:w="109"/>
        <w:gridCol w:w="109"/>
        <w:gridCol w:w="109"/>
        <w:gridCol w:w="211"/>
        <w:gridCol w:w="736"/>
        <w:gridCol w:w="109"/>
        <w:gridCol w:w="254"/>
        <w:gridCol w:w="257"/>
        <w:gridCol w:w="367"/>
        <w:gridCol w:w="358"/>
        <w:gridCol w:w="157"/>
        <w:gridCol w:w="508"/>
      </w:tblGrid>
      <w:tr>
        <w:trPr/>
        <w:tc>
          <w:tcPr>
            <w:tcW w:w="6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Constant Currency Change</w:t>
            </w:r>
            <w:r>
              <w:rPr>
                <w:rFonts w:ascii="Times New Roman;serif" w:hAnsi="Times New Roman;serif"/>
                <w:b w:val="false"/>
                <w:color w:val="000000"/>
                <w:sz w:val="10"/>
              </w:rP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102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Constant Currency Change</w:t>
            </w:r>
            <w:r>
              <w:rPr>
                <w:rFonts w:ascii="Times New Roman;serif" w:hAnsi="Times New Roman;serif"/>
                <w:b w:val="false"/>
                <w:color w:val="000000"/>
                <w:sz w:val="10"/>
              </w:rPr>
              <w:t>(g)</w:t>
            </w:r>
          </w:p>
        </w:tc>
      </w:tr>
      <w:tr>
        <w:trPr/>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Programming</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Technical and support</w:t>
            </w:r>
            <w:r>
              <w:rPr>
                <w:rFonts w:ascii="Times New Roman;serif" w:hAnsi="Times New Roman;serif"/>
                <w:b w:val="false"/>
                <w:color w:val="000000"/>
                <w:sz w:val="13"/>
              </w:rPr>
              <w:t>(b)</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Direct product costs</w:t>
            </w:r>
            <w:r>
              <w:rPr>
                <w:rFonts w:ascii="Times New Roman;serif" w:hAnsi="Times New Roman;serif"/>
                <w:b w:val="false"/>
                <w:color w:val="000000"/>
                <w:sz w:val="13"/>
              </w:rPr>
              <w:t>(c)</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Marketing and promotion</w:t>
            </w:r>
            <w:r>
              <w:rPr>
                <w:rFonts w:ascii="Times New Roman;serif" w:hAnsi="Times New Roman;serif"/>
                <w:b w:val="false"/>
                <w:color w:val="000000"/>
                <w:sz w:val="13"/>
              </w:rPr>
              <w:t>(d)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Customer service</w:t>
            </w:r>
            <w:r>
              <w:rPr>
                <w:rFonts w:ascii="Times New Roman;serif" w:hAnsi="Times New Roman;serif"/>
                <w:b w:val="false"/>
                <w:color w:val="000000"/>
                <w:sz w:val="13"/>
              </w:rPr>
              <w:t>(e)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w:t>
            </w:r>
            <w:r>
              <w:rPr>
                <w:rFonts w:ascii="Times New Roman;serif" w:hAnsi="Times New Roman;serif"/>
                <w:b w:val="false"/>
                <w:color w:val="000000"/>
                <w:sz w:val="13"/>
              </w:rPr>
              <w:t>(f)</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5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Connectivity &amp; Platforms costs and expenses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12,075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12,274</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w:t>
            </w:r>
          </w:p>
        </w:tc>
        <w:tc>
          <w:tcPr>
            <w:tcW w:w="36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1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45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35,957</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36,135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(0.5)</w:t>
            </w:r>
          </w:p>
        </w:tc>
        <w:tc>
          <w:tcPr>
            <w:tcW w:w="36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15"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50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(a)Programming expenses, which represent our most significant operating expense, are the fees we incur to provide video services to our customers, and primarily include fees related to the distribution of television network programming and fees charged for retransmission of the signals from local broadcast television stations. These expenses also include the costs of content on the Sky-branded entertainment television networks, including amortization of licensed content.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7" name="Frame2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60" w:after="12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(b)Technical and support expenses primarily consist of costs for labor to complete service call and installation activities; and costs for network operations and satellite transmission, product development, fulfillment and provisioning.</w:t>
      </w:r>
    </w:p>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(c)Direct product costs primarily consist of access fees related to using wireless and broadband networks owned by third parties to deliver our services and costs of products sold, including wireless devices and Sky Glass smart televisions.</w:t>
      </w:r>
    </w:p>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(d)Marketing and promotion expenses primarily consist of the costs associated with attracting new customers and promoting our service offerings.</w:t>
      </w:r>
    </w:p>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(e)Customer service expenses primarily consist of the personnel and other costs associated with customer service and certain selling activities.</w:t>
      </w:r>
    </w:p>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(f)Other expenses primarily consist of administrative personnel costs; franchise and other regulatory fees; fees paid to third parties where we are acting as the principal in the advertising representation arrangement; bad debt; building and office expenses, taxes and billing costs; and other business, headquarters and support costs necessary to operate the Connectivity &amp; Platforms business.</w:t>
      </w:r>
    </w:p>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(g)Constant currency is a non-GAAP financial measure. Refer to the “Non-GAAP Financial Measures” section on page 30 for additional information, including our definition and our use of constant currency, and for a reconciliation of constant currency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Helvetica;sans-serif" w:hAnsi="Helvetica;sans-serif"/>
          <w:b/>
          <w:color w:val="000000"/>
          <w:sz w:val="24"/>
        </w:rPr>
      </w:pPr>
      <w:r>
        <w:rPr>
          <w:rFonts w:ascii="Helvetica;sans-serif" w:hAnsi="Helvetica;sans-serif"/>
          <w:b/>
          <w:color w:val="000000"/>
          <w:sz w:val="24"/>
        </w:rPr>
        <w:t>Residential Connectivity &amp; Platforms Segment Results of Operations</w:t>
      </w:r>
    </w:p>
    <w:tbl>
      <w:tblPr>
        <w:tblW w:w="10205" w:type="dxa"/>
        <w:jc w:val="left"/>
        <w:tblInd w:w="0" w:type="dxa"/>
        <w:tblLayout w:type="fixed"/>
        <w:tblCellMar>
          <w:top w:w="28" w:type="dxa"/>
          <w:left w:w="28" w:type="dxa"/>
          <w:bottom w:w="28" w:type="dxa"/>
          <w:right w:w="28" w:type="dxa"/>
        </w:tblCellMar>
      </w:tblPr>
      <w:tblGrid>
        <w:gridCol w:w="672"/>
        <w:gridCol w:w="358"/>
        <w:gridCol w:w="297"/>
        <w:gridCol w:w="211"/>
        <w:gridCol w:w="631"/>
        <w:gridCol w:w="109"/>
        <w:gridCol w:w="109"/>
        <w:gridCol w:w="109"/>
        <w:gridCol w:w="109"/>
        <w:gridCol w:w="211"/>
        <w:gridCol w:w="631"/>
        <w:gridCol w:w="109"/>
        <w:gridCol w:w="254"/>
        <w:gridCol w:w="257"/>
        <w:gridCol w:w="367"/>
        <w:gridCol w:w="360"/>
        <w:gridCol w:w="178"/>
        <w:gridCol w:w="497"/>
        <w:gridCol w:w="109"/>
        <w:gridCol w:w="109"/>
        <w:gridCol w:w="109"/>
        <w:gridCol w:w="211"/>
        <w:gridCol w:w="736"/>
        <w:gridCol w:w="109"/>
        <w:gridCol w:w="109"/>
        <w:gridCol w:w="109"/>
        <w:gridCol w:w="109"/>
        <w:gridCol w:w="211"/>
        <w:gridCol w:w="736"/>
        <w:gridCol w:w="109"/>
        <w:gridCol w:w="254"/>
        <w:gridCol w:w="257"/>
        <w:gridCol w:w="367"/>
        <w:gridCol w:w="361"/>
        <w:gridCol w:w="172"/>
        <w:gridCol w:w="559"/>
      </w:tblGrid>
      <w:tr>
        <w:trPr/>
        <w:tc>
          <w:tcPr>
            <w:tcW w:w="67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Constant Currency Change</w:t>
            </w:r>
            <w:r>
              <w:rPr>
                <w:rFonts w:ascii="Times New Roman;serif" w:hAnsi="Times New Roman;serif"/>
                <w:b w:val="false"/>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10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Constant Currency Change</w:t>
            </w:r>
            <w:r>
              <w:rPr>
                <w:rFonts w:ascii="Times New Roman;serif" w:hAnsi="Times New Roman;serif"/>
                <w:b w:val="false"/>
                <w:color w:val="000000"/>
                <w:sz w:val="10"/>
              </w:rPr>
              <w:t>(a)</w:t>
            </w:r>
          </w:p>
        </w:tc>
      </w:tr>
      <w:tr>
        <w:trPr/>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2025</w:t>
            </w:r>
            <w:r>
              <w:rPr>
                <w:rFonts w:ascii="Times New Roman;serif" w:hAnsi="Times New Roman;serif"/>
                <w:b w:val="false"/>
                <w:color w:val="000000"/>
                <w:sz w:val="10"/>
              </w:rPr>
              <w:t>(b)</w:t>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2025</w:t>
            </w:r>
            <w:r>
              <w:rPr>
                <w:rFonts w:ascii="Times New Roman;serif" w:hAnsi="Times New Roman;serif"/>
                <w:b w:val="false"/>
                <w:color w:val="000000"/>
                <w:sz w:val="10"/>
              </w:rPr>
              <w:t>(b)</w:t>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broadband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wireless service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convergence revenue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wireless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connectivity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residential connectivity </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51,464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53,140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5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6,110</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6,484</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w:t>
            </w:r>
          </w:p>
        </w:tc>
        <w:tc>
          <w:tcPr>
            <w:tcW w:w="36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38"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w:t>
            </w:r>
          </w:p>
        </w:tc>
        <w:tc>
          <w:tcPr>
            <w:tcW w:w="49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18,992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20,332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w:t>
            </w:r>
          </w:p>
        </w:tc>
        <w:tc>
          <w:tcPr>
            <w:tcW w:w="36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33"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w:t>
            </w:r>
          </w:p>
        </w:tc>
        <w:tc>
          <w:tcPr>
            <w:tcW w:w="5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(a)Constant currency is a non-GAAP financial measure. Refer to the “Non-GAAP Financial Measures” section on page 30 for additional information, including our definition and our use of constant currency, and for a reconciliation of constant currency amounts.</w:t>
      </w:r>
    </w:p>
    <w:p>
      <w:pPr>
        <w:pStyle w:val="TextBody"/>
        <w:bidi w:val="0"/>
        <w:spacing w:lineRule="auto" w:line="288" w:before="0" w:after="4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(b)Beginning in the first quarter of 2026, commission revenue from the sale of certain DTC streaming services is presented in domestic broadband revenue or video revenue based on whether a customer is entitled to receive the DTC streaming service through a broadband or video service offering. Domestic broadband revenue also includes revenue from streaming devices available to our broadband customers. Previously, all of these amounts were in video revenue. Prior periods have been reclassified to reflect the current year presentation.</w:t>
      </w:r>
    </w:p>
    <w:p>
      <w:pPr>
        <w:pStyle w:val="TextBody"/>
        <w:bidi w:val="0"/>
        <w:spacing w:lineRule="auto" w:line="288" w:before="60" w:after="120"/>
        <w:jc w:val="both"/>
        <w:rPr>
          <w:rFonts w:ascii="Helvetica;sans-serif" w:hAnsi="Helvetica;sans-serif"/>
          <w:b/>
          <w:color w:val="000000"/>
          <w:sz w:val="20"/>
        </w:rPr>
      </w:pPr>
      <w:r>
        <w:rPr>
          <w:rFonts w:ascii="Helvetica;sans-serif" w:hAnsi="Helvetica;sans-serif"/>
          <w:b/>
          <w:color w:val="000000"/>
          <w:sz w:val="20"/>
        </w:rPr>
        <w:t>Residential Connectivity &amp; Platforms Segment – Revenue</w:t>
      </w:r>
    </w:p>
    <w:p>
      <w:pPr>
        <w:pStyle w:val="TextBody"/>
        <w:bidi w:val="0"/>
        <w:spacing w:lineRule="auto" w:line="288" w:before="60" w:after="60"/>
        <w:jc w:val="both"/>
        <w:rPr/>
      </w:pPr>
      <w:r>
        <w:rPr>
          <w:rFonts w:ascii="Helvetica;sans-serif" w:hAnsi="Helvetica;sans-serif"/>
          <w:b/>
          <w:i/>
          <w:color w:val="000000"/>
          <w:sz w:val="20"/>
        </w:rPr>
        <w:t xml:space="preserve">Domestic broadband revenue </w:t>
      </w:r>
      <w:r>
        <w:rPr>
          <w:rFonts w:ascii="Times New Roman;serif" w:hAnsi="Times New Roman;serif"/>
          <w:b w:val="false"/>
          <w:color w:val="000000"/>
          <w:sz w:val="20"/>
        </w:rPr>
        <w:t>primarily consists of revenue from sales of broadband services to residential customers in the United States, including equipment and installation services. Domestic broadband revenue also includes commission revenue from the sale of DTC streaming services that a customer is entitled to receive through a broadband service offering, revenue from streaming devices available to our broadband customers and revenue from other converged offerings.</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Domestic broadband revenue decreased for the three and nine months ended September 30, 2026 compared to the same periods in 2025 due to decreases in average rates and declines in the number of domestic broadband customers.</w:t>
      </w:r>
    </w:p>
    <w:p>
      <w:pPr>
        <w:pStyle w:val="TextBody"/>
        <w:bidi w:val="0"/>
        <w:spacing w:lineRule="auto" w:line="288" w:before="0" w:after="0"/>
        <w:jc w:val="both"/>
        <w:rPr/>
      </w:pPr>
      <w:r>
        <w:rPr>
          <w:rFonts w:ascii="Helvetica;sans-serif" w:hAnsi="Helvetica;sans-serif"/>
          <w:b/>
          <w:i/>
          <w:color w:val="000000"/>
          <w:sz w:val="20"/>
        </w:rPr>
        <w:t xml:space="preserve">Domestic wireless service revenue </w:t>
      </w:r>
      <w:r>
        <w:rPr>
          <w:rFonts w:ascii="Times New Roman;serif" w:hAnsi="Times New Roman;serif"/>
          <w:b w:val="false"/>
          <w:color w:val="000000"/>
          <w:sz w:val="20"/>
        </w:rPr>
        <w:t>primarily consists of revenue from sales of wireless services to residential customers in the United States.</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 xml:space="preserve">Domestic wireless service revenue increased for the three and nine months ended September 30, 2026 compared to the same periods in 2025 due to increases in the number of customer lines and the conversion of promotional free wireless lines to paid service. </w:t>
      </w:r>
    </w:p>
    <w:p>
      <w:pPr>
        <w:pStyle w:val="TextBody"/>
        <w:bidi w:val="0"/>
        <w:spacing w:lineRule="auto" w:line="268" w:before="0" w:after="0"/>
        <w:jc w:val="both"/>
        <w:rPr/>
      </w:pPr>
      <w:r>
        <w:rPr>
          <w:rFonts w:ascii="Helvetica;sans-serif" w:hAnsi="Helvetica;sans-serif"/>
          <w:b/>
          <w:i/>
          <w:color w:val="000000"/>
          <w:sz w:val="20"/>
        </w:rPr>
        <w:t xml:space="preserve">Domestic wireless equipment revenue </w:t>
      </w:r>
      <w:r>
        <w:rPr>
          <w:rFonts w:ascii="Times New Roman;serif" w:hAnsi="Times New Roman;serif"/>
          <w:b w:val="false"/>
          <w:color w:val="000000"/>
          <w:sz w:val="20"/>
        </w:rPr>
        <w:t>primarily consists of revenue from sales of wireless devices, including handsets, tablets and smart watches, to residential customers in the United States.</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Domestic wireless equipment revenue increased for the three and nine months ended September 30, 2026 compared to the same periods in 2025 due to increases in device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8" name="Frame2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60" w:after="12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both"/>
        <w:rPr/>
      </w:pPr>
      <w:r>
        <w:rPr>
          <w:rFonts w:ascii="Helvetica;sans-serif" w:hAnsi="Helvetica;sans-serif"/>
          <w:b/>
          <w:i/>
          <w:color w:val="000000"/>
          <w:sz w:val="20"/>
        </w:rPr>
        <w:t>International connectivity revenue</w:t>
      </w:r>
      <w:r>
        <w:rPr>
          <w:color w:val="000000"/>
        </w:rPr>
        <w:t xml:space="preserve"> </w:t>
      </w:r>
      <w:r>
        <w:rPr>
          <w:rFonts w:ascii="Times New Roman;serif" w:hAnsi="Times New Roman;serif"/>
          <w:b w:val="false"/>
          <w:color w:val="000000"/>
          <w:sz w:val="20"/>
        </w:rPr>
        <w:t>primarily consists of revenue from sales of broadband services, including equipment and installation services, wireless devices and wireless services to residential customers in the United Kingdom and Italy.</w:t>
      </w:r>
    </w:p>
    <w:p>
      <w:pPr>
        <w:pStyle w:val="TextBody"/>
        <w:bidi w:val="0"/>
        <w:spacing w:lineRule="auto" w:line="288" w:before="60" w:after="120"/>
        <w:jc w:val="both"/>
        <w:rPr/>
      </w:pPr>
      <w:r>
        <w:rPr>
          <w:rFonts w:ascii="Times New Roman;serif" w:hAnsi="Times New Roman;serif"/>
          <w:b w:val="false"/>
          <w:color w:val="000000"/>
          <w:sz w:val="20"/>
        </w:rPr>
        <w:t xml:space="preserve">International connectivity revenue increased for the three months ended September 30, 2026 </w:t>
      </w:r>
      <w:r>
        <w:rPr>
          <w:rFonts w:ascii="Times New Roman;serif" w:hAnsi="Times New Roman;serif"/>
          <w:b w:val="false"/>
          <w:color w:val="000000"/>
          <w:sz w:val="20"/>
          <w:shd w:fill="FFFFFF" w:val="clear"/>
        </w:rPr>
        <w:t>compared to the same period in 2025</w:t>
      </w:r>
      <w:r>
        <w:rPr>
          <w:color w:val="000000"/>
        </w:rPr>
        <w:t xml:space="preserve"> </w:t>
      </w:r>
      <w:r>
        <w:rPr>
          <w:rFonts w:ascii="Times New Roman;serif" w:hAnsi="Times New Roman;serif"/>
          <w:b w:val="false"/>
          <w:color w:val="000000"/>
          <w:sz w:val="20"/>
        </w:rPr>
        <w:t>due to an increase in wireless revenue, primarily reflecting higher equipment revenue.</w:t>
      </w:r>
    </w:p>
    <w:p>
      <w:pPr>
        <w:pStyle w:val="TextBody"/>
        <w:bidi w:val="0"/>
        <w:spacing w:lineRule="auto" w:line="288" w:before="60" w:after="120"/>
        <w:jc w:val="both"/>
        <w:rPr/>
      </w:pPr>
      <w:r>
        <w:rPr>
          <w:rFonts w:ascii="Times New Roman;serif" w:hAnsi="Times New Roman;serif"/>
          <w:b w:val="false"/>
          <w:color w:val="000000"/>
          <w:sz w:val="20"/>
        </w:rPr>
        <w:t xml:space="preserve">International connectivity revenue increased for the nine months ended September 30, 2026 </w:t>
      </w:r>
      <w:r>
        <w:rPr>
          <w:rFonts w:ascii="Times New Roman;serif" w:hAnsi="Times New Roman;serif"/>
          <w:b w:val="false"/>
          <w:color w:val="000000"/>
          <w:sz w:val="20"/>
          <w:shd w:fill="FFFFFF" w:val="clear"/>
        </w:rPr>
        <w:t>compared to the same period in 2025</w:t>
      </w:r>
      <w:r>
        <w:rPr>
          <w:color w:val="000000"/>
        </w:rPr>
        <w:t xml:space="preserve"> </w:t>
      </w:r>
      <w:r>
        <w:rPr>
          <w:rFonts w:ascii="Times New Roman;serif" w:hAnsi="Times New Roman;serif"/>
          <w:b w:val="false"/>
          <w:color w:val="000000"/>
          <w:sz w:val="20"/>
        </w:rPr>
        <w:t>primarily due to the positive impact of foreign currency, an increase in wireless revenue, reflecting higher equipment and services revenue, and an increase in broadband revenue primarily reflecting higher average rates.</w:t>
      </w:r>
    </w:p>
    <w:p>
      <w:pPr>
        <w:pStyle w:val="TextBody"/>
        <w:bidi w:val="0"/>
        <w:spacing w:lineRule="auto" w:line="268" w:before="0" w:after="0"/>
        <w:jc w:val="both"/>
        <w:rPr/>
      </w:pPr>
      <w:r>
        <w:rPr>
          <w:rFonts w:ascii="Helvetica;sans-serif" w:hAnsi="Helvetica;sans-serif"/>
          <w:b/>
          <w:i/>
          <w:color w:val="000000"/>
          <w:sz w:val="20"/>
        </w:rPr>
        <w:t>Video revenue</w:t>
      </w:r>
      <w:r>
        <w:rPr>
          <w:color w:val="000000"/>
        </w:rPr>
        <w:t xml:space="preserve"> </w:t>
      </w:r>
      <w:r>
        <w:rPr>
          <w:rFonts w:ascii="Times New Roman;serif" w:hAnsi="Times New Roman;serif"/>
          <w:b w:val="false"/>
          <w:color w:val="000000"/>
          <w:sz w:val="20"/>
        </w:rPr>
        <w:t>primarily consists of revenue from sales of video services to residential and business customers across the Connectivity &amp; Platforms markets, including equipment and installation services. Video revenue includes pay-per-view and other transactional revenue and franchise fees, and revenue from sales of certain hardware, including Sky Glass smart televisions. Video revenue also includes commission revenue from DTC streaming services that a customer is entitled to receive through a video service offering.</w:t>
      </w:r>
    </w:p>
    <w:p>
      <w:pPr>
        <w:pStyle w:val="TextBody"/>
        <w:bidi w:val="0"/>
        <w:spacing w:lineRule="auto" w:line="288" w:before="60" w:after="120"/>
        <w:jc w:val="both"/>
        <w:rPr/>
      </w:pPr>
      <w:r>
        <w:rPr>
          <w:rFonts w:ascii="Times New Roman;serif" w:hAnsi="Times New Roman;serif"/>
          <w:b w:val="false"/>
          <w:color w:val="000000"/>
          <w:sz w:val="20"/>
          <w:shd w:fill="FFFFFF" w:val="clear"/>
        </w:rPr>
        <w:t xml:space="preserve">Video revenue decreased 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September 30, 2026 compared to the same periods in 2025 primarily due to declines in the overall number of video customers. The decrease for the </w:t>
      </w:r>
      <w:r>
        <w:rPr>
          <w:rFonts w:ascii="Times New Roman;serif" w:hAnsi="Times New Roman;serif"/>
          <w:b w:val="false"/>
          <w:color w:val="000000"/>
          <w:sz w:val="20"/>
        </w:rPr>
        <w:t xml:space="preserve">nine months ended September 30, 2026 was </w:t>
      </w:r>
      <w:r>
        <w:rPr>
          <w:rFonts w:ascii="Times New Roman;serif" w:hAnsi="Times New Roman;serif"/>
          <w:b w:val="false"/>
          <w:color w:val="000000"/>
          <w:sz w:val="20"/>
          <w:shd w:fill="FFFFFF" w:val="clear"/>
        </w:rPr>
        <w:t xml:space="preserve">partially offset by the positive impact of foreign currency. </w:t>
      </w:r>
    </w:p>
    <w:p>
      <w:pPr>
        <w:pStyle w:val="TextBody"/>
        <w:bidi w:val="0"/>
        <w:spacing w:lineRule="auto" w:line="288" w:before="0" w:after="0"/>
        <w:jc w:val="both"/>
        <w:rPr/>
      </w:pPr>
      <w:r>
        <w:rPr>
          <w:rFonts w:ascii="Helvetica;sans-serif" w:hAnsi="Helvetica;sans-serif"/>
          <w:b/>
          <w:i/>
          <w:color w:val="000000"/>
          <w:sz w:val="20"/>
          <w:shd w:fill="FFFFFF" w:val="clear"/>
        </w:rPr>
        <w:t xml:space="preserve">Advertising </w:t>
      </w:r>
      <w:r>
        <w:rPr>
          <w:rFonts w:ascii="Helvetica;sans-serif" w:hAnsi="Helvetica;sans-serif"/>
          <w:b/>
          <w:i/>
          <w:color w:val="000000"/>
          <w:sz w:val="20"/>
        </w:rPr>
        <w:t>revenue</w:t>
      </w:r>
      <w:r>
        <w:rPr>
          <w:color w:val="000000"/>
        </w:rPr>
        <w:t xml:space="preserve"> </w:t>
      </w:r>
      <w:r>
        <w:rPr>
          <w:rFonts w:ascii="Times New Roman;serif" w:hAnsi="Times New Roman;serif"/>
          <w:b w:val="false"/>
          <w:color w:val="000000"/>
          <w:sz w:val="20"/>
        </w:rPr>
        <w:t>primarily consists of revenue from the sale of advertising across our platforms in the Connectivity &amp; Platforms markets, including advertising received as part of our distribution agreements with cable networks in the United States, and advertising on Sky-branded entertainment television networks and on our digital properties. Advertising also includes revenue where we enter into representation agreements under which we sell advertising on behalf of third parties and from our advanced advertising businesses.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Advertising revenue increased for the three and nine months ended September 30, 2026 compared to the same periods in 2025 primarily due to higher domestic political advertising and increases in revenue from our advanced advertising business, partially offset by lower international advertising and lower domestic nonpolitical advertising. The increase for the nine months ended September 30, 2026 also includes the positive impact of foreign currency.</w:t>
      </w:r>
    </w:p>
    <w:p>
      <w:pPr>
        <w:pStyle w:val="TextBody"/>
        <w:bidi w:val="0"/>
        <w:spacing w:lineRule="auto" w:line="268" w:before="0" w:after="0"/>
        <w:jc w:val="both"/>
        <w:rPr/>
      </w:pPr>
      <w:r>
        <w:rPr>
          <w:rFonts w:ascii="Helvetica;sans-serif" w:hAnsi="Helvetica;sans-serif"/>
          <w:b/>
          <w:i/>
          <w:color w:val="000000"/>
          <w:sz w:val="20"/>
        </w:rPr>
        <w:t>Other revenue</w:t>
      </w:r>
      <w:r>
        <w:rPr>
          <w:color w:val="000000"/>
        </w:rPr>
        <w:t xml:space="preserve"> </w:t>
      </w:r>
      <w:r>
        <w:rPr>
          <w:rFonts w:ascii="Times New Roman;serif" w:hAnsi="Times New Roman;serif"/>
          <w:b w:val="false"/>
          <w:color w:val="000000"/>
          <w:sz w:val="20"/>
        </w:rPr>
        <w:t>primarily consists of revenue in the Connectivity &amp; Platforms markets from sales of wireline voice services to residential customers; sales of certain of our residential security and automation services; the licensing of our technology platforms to other multichannel video providers; the distribution of certain of our Sky-branded entertainment television networks to third-party video service providers; commissions from electronic retailing networks; and certain billing and collection fees.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Other revenue decreased for the three and nine months ended September 30, 2026 compared to the same periods in 2025 primarily due to decreases in residential wireline voice revenue driven by declines in the number of customers. </w:t>
      </w:r>
    </w:p>
    <w:p>
      <w:pPr>
        <w:pStyle w:val="TextBody"/>
        <w:bidi w:val="0"/>
        <w:spacing w:lineRule="auto" w:line="288" w:before="0" w:after="108"/>
        <w:jc w:val="both"/>
        <w:rPr>
          <w:rFonts w:ascii="Helvetica;sans-serif" w:hAnsi="Helvetica;sans-serif"/>
          <w:b/>
          <w:color w:val="000000"/>
          <w:sz w:val="20"/>
          <w:shd w:fill="FFFFFF" w:val="clear"/>
        </w:rPr>
      </w:pPr>
      <w:r>
        <w:rPr>
          <w:rFonts w:ascii="Helvetica;sans-serif" w:hAnsi="Helvetica;sans-serif"/>
          <w:b/>
          <w:color w:val="000000"/>
          <w:sz w:val="20"/>
          <w:shd w:fill="FFFFFF" w:val="clear"/>
        </w:rPr>
        <w:t>Residential Connectivity &amp; Platforms Segment – Costs and Expenses</w:t>
      </w:r>
    </w:p>
    <w:p>
      <w:pPr>
        <w:pStyle w:val="TextBody"/>
        <w:bidi w:val="0"/>
        <w:spacing w:lineRule="auto" w:line="288" w:before="60" w:after="60"/>
        <w:jc w:val="both"/>
        <w:rPr/>
      </w:pPr>
      <w:r>
        <w:rPr>
          <w:rFonts w:ascii="Helvetica;sans-serif" w:hAnsi="Helvetica;sans-serif"/>
          <w:b/>
          <w:i/>
          <w:color w:val="000000"/>
          <w:sz w:val="20"/>
        </w:rPr>
        <w:t>Programming expenses</w:t>
      </w:r>
      <w:r>
        <w:rPr>
          <w:color w:val="000000"/>
          <w:shd w:fill="FFFFFF" w:val="clear"/>
        </w:rPr>
        <w:t xml:space="preserve"> </w:t>
      </w:r>
      <w:r>
        <w:rPr>
          <w:rFonts w:ascii="Times New Roman;serif" w:hAnsi="Times New Roman;serif"/>
          <w:b w:val="false"/>
          <w:color w:val="000000"/>
          <w:sz w:val="20"/>
          <w:shd w:fill="FFFFFF" w:val="clear"/>
        </w:rPr>
        <w:t xml:space="preserve">decreased for the </w:t>
      </w:r>
      <w:r>
        <w:rPr>
          <w:rFonts w:ascii="Times New Roman;serif" w:hAnsi="Times New Roman;serif"/>
          <w:b w:val="false"/>
          <w:color w:val="000000"/>
          <w:sz w:val="20"/>
        </w:rPr>
        <w:t>three and nine months ended</w:t>
      </w:r>
      <w:r>
        <w:rPr>
          <w:color w:val="000000"/>
          <w:shd w:fill="FFFFFF" w:val="clear"/>
        </w:rPr>
        <w:t xml:space="preserve"> </w:t>
      </w:r>
      <w:r>
        <w:rPr>
          <w:rFonts w:ascii="Times New Roman;serif" w:hAnsi="Times New Roman;serif"/>
          <w:b w:val="false"/>
          <w:color w:val="000000"/>
          <w:sz w:val="20"/>
          <w:shd w:fill="FFFFFF" w:val="clear"/>
        </w:rPr>
        <w:t xml:space="preserve">September 30, 2026 compared to the same periods in 2025 primarily due to declines in the number of domestic video subscribers. The decrease for the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months ended September 30, 2026 is partially offset by the impact of foreign currency.</w:t>
      </w:r>
    </w:p>
    <w:p>
      <w:pPr>
        <w:pStyle w:val="TextBody"/>
        <w:bidi w:val="0"/>
        <w:spacing w:lineRule="auto" w:line="288" w:before="60" w:after="60"/>
        <w:jc w:val="both"/>
        <w:rPr/>
      </w:pPr>
      <w:r>
        <w:rPr>
          <w:rFonts w:ascii="Helvetica;sans-serif" w:hAnsi="Helvetica;sans-serif"/>
          <w:b/>
          <w:i/>
          <w:color w:val="000000"/>
          <w:sz w:val="20"/>
        </w:rPr>
        <w:t>Other expenses</w:t>
      </w:r>
      <w:r>
        <w:rPr>
          <w:color w:val="000000"/>
        </w:rPr>
        <w:t xml:space="preserve"> </w:t>
      </w:r>
      <w:r>
        <w:rPr>
          <w:rFonts w:ascii="Times New Roman;serif" w:hAnsi="Times New Roman;serif"/>
          <w:b w:val="false"/>
          <w:color w:val="000000"/>
          <w:sz w:val="20"/>
        </w:rPr>
        <w:t>increased for the three months ended September 30, 2026 compared to the same period in 2025 primarily due to increased direct product costs mainly due to growth in our domestic wireless business, partially offset by lower technical and support expenses.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expenses increased for the nine months ended September 30, 2026 compared to the same period in 2025 primarily due to increased direct product costs mainly due to growth in our domestic wireless business, the impact of foreign currency and increased spending on marketing and promotion, partially offset by lower technical and support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10" w:after="283"/>
        <w:jc w:val="left"/>
        <w:rPr>
          <w:rFonts w:ascii="Helvetica;sans-serif" w:hAnsi="Helvetica;sans-serif"/>
          <w:b/>
          <w:color w:val="000000"/>
          <w:sz w:val="24"/>
        </w:rPr>
      </w:pPr>
      <w:r>
        <w:rPr>
          <w:rFonts w:ascii="Helvetica;sans-serif" w:hAnsi="Helvetica;sans-serif"/>
          <w:b/>
          <w:color w:val="000000"/>
          <w:sz w:val="24"/>
        </w:rPr>
        <w:t>Business Services Connectivity Segment Results of Operations</w:t>
      </w:r>
    </w:p>
    <w:tbl>
      <w:tblPr>
        <w:tblW w:w="8758" w:type="dxa"/>
        <w:jc w:val="left"/>
        <w:tblInd w:w="0" w:type="dxa"/>
        <w:tblLayout w:type="fixed"/>
        <w:tblCellMar>
          <w:top w:w="28" w:type="dxa"/>
          <w:left w:w="28" w:type="dxa"/>
          <w:bottom w:w="28" w:type="dxa"/>
          <w:right w:w="28" w:type="dxa"/>
        </w:tblCellMar>
      </w:tblPr>
      <w:tblGrid>
        <w:gridCol w:w="614"/>
        <w:gridCol w:w="539"/>
        <w:gridCol w:w="541"/>
        <w:gridCol w:w="211"/>
        <w:gridCol w:w="631"/>
        <w:gridCol w:w="109"/>
        <w:gridCol w:w="109"/>
        <w:gridCol w:w="109"/>
        <w:gridCol w:w="109"/>
        <w:gridCol w:w="211"/>
        <w:gridCol w:w="631"/>
        <w:gridCol w:w="109"/>
        <w:gridCol w:w="109"/>
        <w:gridCol w:w="109"/>
        <w:gridCol w:w="109"/>
        <w:gridCol w:w="210"/>
        <w:gridCol w:w="211"/>
        <w:gridCol w:w="367"/>
        <w:gridCol w:w="109"/>
        <w:gridCol w:w="109"/>
        <w:gridCol w:w="109"/>
        <w:gridCol w:w="211"/>
        <w:gridCol w:w="631"/>
        <w:gridCol w:w="109"/>
        <w:gridCol w:w="109"/>
        <w:gridCol w:w="109"/>
        <w:gridCol w:w="109"/>
        <w:gridCol w:w="211"/>
        <w:gridCol w:w="631"/>
        <w:gridCol w:w="109"/>
        <w:gridCol w:w="109"/>
        <w:gridCol w:w="109"/>
        <w:gridCol w:w="109"/>
        <w:gridCol w:w="210"/>
        <w:gridCol w:w="211"/>
        <w:gridCol w:w="416"/>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169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1,454</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36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4,471</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4,320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4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60" w:after="60"/>
        <w:jc w:val="both"/>
        <w:rPr/>
      </w:pPr>
      <w:r>
        <w:rPr>
          <w:rFonts w:ascii="Helvetica;sans-serif" w:hAnsi="Helvetica;sans-serif"/>
          <w:b/>
          <w:i/>
          <w:color w:val="000000"/>
          <w:sz w:val="20"/>
        </w:rPr>
        <w:t>Business services connectivity revenue</w:t>
      </w:r>
      <w:r>
        <w:rPr>
          <w:color w:val="000000"/>
        </w:rPr>
        <w:t xml:space="preserve"> </w:t>
      </w:r>
      <w:r>
        <w:rPr>
          <w:rFonts w:ascii="Times New Roman;serif" w:hAnsi="Times New Roman;serif"/>
          <w:b w:val="false"/>
          <w:color w:val="000000"/>
          <w:sz w:val="20"/>
        </w:rPr>
        <w:t>increased for the three and nine months ended September 30, 2026 compared to the same periods in 2025 primarily due to increases in revenue from enterprise solutions offerings. The increase in enterprise solutions offerings for the nine</w:t>
      </w:r>
      <w:r>
        <w:rPr>
          <w:color w:val="000000"/>
          <w:shd w:fill="FFFFFF" w:val="clear"/>
        </w:rPr>
        <w:t xml:space="preserve"> </w:t>
      </w:r>
      <w:r>
        <w:rPr>
          <w:rFonts w:ascii="Times New Roman;serif" w:hAnsi="Times New Roman;serif"/>
          <w:b w:val="false"/>
          <w:color w:val="000000"/>
          <w:sz w:val="20"/>
          <w:shd w:fill="FFFFFF" w:val="clear"/>
        </w:rPr>
        <w:t>months ended September 30, 2026 reflects the A</w:t>
      </w:r>
      <w:r>
        <w:rPr>
          <w:rFonts w:ascii="Times New Roman;serif" w:hAnsi="Times New Roman;serif"/>
          <w:b w:val="false"/>
          <w:color w:val="000000"/>
          <w:sz w:val="20"/>
        </w:rPr>
        <w:t>pril 2025 acquisition of Nitel.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9" name="Frame2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60" w:after="12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lineRule="auto" w:line="288" w:before="60" w:after="60"/>
        <w:jc w:val="both"/>
        <w:rPr/>
      </w:pPr>
      <w:r>
        <w:rPr>
          <w:rFonts w:ascii="Helvetica;sans-serif" w:hAnsi="Helvetica;sans-serif"/>
          <w:b/>
          <w:i/>
          <w:color w:val="000000"/>
          <w:sz w:val="20"/>
        </w:rPr>
        <w:t>Business services connectivity costs and expenses</w:t>
      </w:r>
      <w:r>
        <w:rPr>
          <w:color w:val="000000"/>
        </w:rPr>
        <w:t xml:space="preserve"> </w:t>
      </w:r>
      <w:r>
        <w:rPr>
          <w:rFonts w:ascii="Times New Roman;serif" w:hAnsi="Times New Roman;serif"/>
          <w:b w:val="false"/>
          <w:color w:val="000000"/>
          <w:sz w:val="20"/>
        </w:rPr>
        <w:t>increased for the three and nine months ended September 30, 2026 compared to the same periods in 2025 primarily due to increased direct product costs and increased spending on marketing and promotion. The increase in direct product costs for the nine</w:t>
      </w:r>
      <w:r>
        <w:rPr>
          <w:color w:val="000000"/>
          <w:shd w:fill="FFFFFF" w:val="clear"/>
        </w:rPr>
        <w:t xml:space="preserve"> </w:t>
      </w:r>
      <w:r>
        <w:rPr>
          <w:rFonts w:ascii="Times New Roman;serif" w:hAnsi="Times New Roman;serif"/>
          <w:b w:val="false"/>
          <w:color w:val="000000"/>
          <w:sz w:val="20"/>
          <w:shd w:fill="FFFFFF" w:val="clear"/>
        </w:rPr>
        <w:t>months ended September 30, 2026 reflects the A</w:t>
      </w:r>
      <w:r>
        <w:rPr>
          <w:rFonts w:ascii="Times New Roman;serif" w:hAnsi="Times New Roman;serif"/>
          <w:b w:val="false"/>
          <w:color w:val="000000"/>
          <w:sz w:val="20"/>
        </w:rPr>
        <w:t>pril 2025 acquisition of Nitel.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10" w:after="283"/>
        <w:jc w:val="left"/>
        <w:rPr>
          <w:rFonts w:ascii="Helvetica;sans-serif" w:hAnsi="Helvetica;sans-serif"/>
          <w:b/>
          <w:color w:val="000000"/>
          <w:sz w:val="24"/>
        </w:rPr>
      </w:pPr>
      <w:r>
        <w:rPr>
          <w:rFonts w:ascii="Helvetica;sans-serif" w:hAnsi="Helvetica;sans-serif"/>
          <w:b/>
          <w:color w:val="000000"/>
          <w:sz w:val="24"/>
        </w:rPr>
        <w:t>Content &amp; Experiences Results of Operations</w:t>
      </w:r>
    </w:p>
    <w:tbl>
      <w:tblPr>
        <w:tblW w:w="10205" w:type="dxa"/>
        <w:jc w:val="center"/>
        <w:tblInd w:w="0" w:type="dxa"/>
        <w:tblLayout w:type="fixed"/>
        <w:tblCellMar>
          <w:top w:w="28" w:type="dxa"/>
          <w:left w:w="28" w:type="dxa"/>
          <w:bottom w:w="28" w:type="dxa"/>
          <w:right w:w="28" w:type="dxa"/>
        </w:tblCellMar>
      </w:tblPr>
      <w:tblGrid>
        <w:gridCol w:w="1442"/>
        <w:gridCol w:w="1080"/>
        <w:gridCol w:w="1027"/>
        <w:gridCol w:w="211"/>
        <w:gridCol w:w="736"/>
        <w:gridCol w:w="109"/>
        <w:gridCol w:w="211"/>
        <w:gridCol w:w="631"/>
        <w:gridCol w:w="109"/>
        <w:gridCol w:w="284"/>
        <w:gridCol w:w="287"/>
        <w:gridCol w:w="367"/>
        <w:gridCol w:w="109"/>
        <w:gridCol w:w="109"/>
        <w:gridCol w:w="109"/>
        <w:gridCol w:w="211"/>
        <w:gridCol w:w="736"/>
        <w:gridCol w:w="109"/>
        <w:gridCol w:w="211"/>
        <w:gridCol w:w="736"/>
        <w:gridCol w:w="109"/>
        <w:gridCol w:w="109"/>
        <w:gridCol w:w="109"/>
        <w:gridCol w:w="109"/>
        <w:gridCol w:w="262"/>
        <w:gridCol w:w="264"/>
        <w:gridCol w:w="419"/>
      </w:tblGrid>
      <w:tr>
        <w:trPr/>
        <w:tc>
          <w:tcPr>
            <w:tcW w:w="144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3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3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Studios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Theme Parks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Headquarters and 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Content &amp; Experiences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w:t>
            </w:r>
            <w:r>
              <w:rPr>
                <w:color w:val="000000"/>
              </w:rPr>
              <w:t>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w:t>
            </w:r>
            <w:r>
              <w:rPr>
                <w:color w:val="000000"/>
              </w:rPr>
              <w:t>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54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Adjusted EBITDA</w:t>
            </w:r>
          </w:p>
        </w:tc>
        <w:tc>
          <w:tcPr>
            <w:tcW w:w="10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Studios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Theme Parks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Headquarters and 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54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Content &amp; Experiences Adjusted EBITDA</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1,800</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1,392</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29.3</w:t>
            </w:r>
            <w:r>
              <w:rPr>
                <w:color w:val="000000"/>
              </w:rPr>
              <w:t> </w:t>
            </w:r>
          </w:p>
        </w:tc>
        <w:tc>
          <w:tcPr>
            <w:tcW w:w="36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3,461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3,246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w:t>
            </w:r>
            <w:r>
              <w:rPr>
                <w:color w:val="000000"/>
              </w:rPr>
              <w:t> </w:t>
            </w:r>
          </w:p>
        </w:tc>
        <w:tc>
          <w:tcPr>
            <w:tcW w:w="4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Percentage changes that are considered not meaningful are denoted with NM.</w:t>
      </w:r>
    </w:p>
    <w:p>
      <w:pPr>
        <w:pStyle w:val="TextBody"/>
        <w:bidi w:val="0"/>
        <w:spacing w:lineRule="auto" w:line="288" w:before="96" w:after="108"/>
        <w:jc w:val="both"/>
        <w:rPr>
          <w:rFonts w:ascii="Times New Roman;serif" w:hAnsi="Times New Roman;serif"/>
          <w:b w:val="false"/>
          <w:color w:val="000000"/>
          <w:sz w:val="20"/>
        </w:rPr>
      </w:pPr>
      <w:r>
        <w:rPr>
          <w:rFonts w:ascii="Times New Roman;serif" w:hAnsi="Times New Roman;serif"/>
          <w:b w:val="false"/>
          <w:color w:val="000000"/>
          <w:sz w:val="20"/>
        </w:rPr>
        <w:t>We operate our Media segment as a combined television and streaming business. We expect that the number of subscribers and audience ratings at our linear television networks will continue to decline as a result of the competitive environment and shifting video consumption patterns, which we aim to mitigate over time by growth in both paid subscribers and advertising revenue at Peacock. We expect to continue to incur significant costs related to content and marketing at Peacock. Revenue and programming and production costs are also impacted by the timing of certain sporting events, including the Milan Cortina Olympics and Super Bowl in the first quarter of 2026 and the FIFA World Cup in the second and third quarters of 2026, as well as the NBA season which began in the fourth quarter of 2025.</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Studios segment generates revenue primarily from third parties and from licensing content to our Media segment. While the results of operations for our Studios segment are not impacted, results for our total Content &amp; Experiences business may be impacted as the Studios segment licenses content to the Media segment, including for Peacock, rather than licensing the content to third parties.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continue to invest significantly in existing and new theme park attractions, hotels and infrastructure, including Epic Universe in Orlando, which opened in May 2025, as well as in new destinations and experiences, including Universal United Kingdom Resort, a theme park and resort with a projected opening date in 2031.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30" name="Frame2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60" w:after="12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lineRule="auto" w:line="288" w:before="136" w:after="283"/>
        <w:jc w:val="left"/>
        <w:rPr>
          <w:rFonts w:ascii="Helvetica;sans-serif" w:hAnsi="Helvetica;sans-serif"/>
          <w:b/>
          <w:color w:val="000000"/>
          <w:sz w:val="24"/>
        </w:rPr>
      </w:pPr>
      <w:r>
        <w:rPr>
          <w:rFonts w:ascii="Helvetica;sans-serif" w:hAnsi="Helvetica;sans-serif"/>
          <w:b/>
          <w:color w:val="000000"/>
          <w:sz w:val="24"/>
        </w:rPr>
        <w:t>Media Segment Results of Operations</w:t>
      </w:r>
    </w:p>
    <w:tbl>
      <w:tblPr>
        <w:tblW w:w="8424" w:type="dxa"/>
        <w:jc w:val="center"/>
        <w:tblInd w:w="0" w:type="dxa"/>
        <w:tblLayout w:type="fixed"/>
        <w:tblCellMar>
          <w:top w:w="28" w:type="dxa"/>
          <w:left w:w="28" w:type="dxa"/>
          <w:bottom w:w="28" w:type="dxa"/>
          <w:right w:w="28" w:type="dxa"/>
        </w:tblCellMar>
      </w:tblPr>
      <w:tblGrid>
        <w:gridCol w:w="1006"/>
        <w:gridCol w:w="777"/>
        <w:gridCol w:w="721"/>
        <w:gridCol w:w="211"/>
        <w:gridCol w:w="616"/>
        <w:gridCol w:w="109"/>
        <w:gridCol w:w="211"/>
        <w:gridCol w:w="616"/>
        <w:gridCol w:w="109"/>
        <w:gridCol w:w="262"/>
        <w:gridCol w:w="264"/>
        <w:gridCol w:w="351"/>
        <w:gridCol w:w="109"/>
        <w:gridCol w:w="109"/>
        <w:gridCol w:w="109"/>
        <w:gridCol w:w="211"/>
        <w:gridCol w:w="631"/>
        <w:gridCol w:w="109"/>
        <w:gridCol w:w="211"/>
        <w:gridCol w:w="631"/>
        <w:gridCol w:w="109"/>
        <w:gridCol w:w="262"/>
        <w:gridCol w:w="264"/>
        <w:gridCol w:w="416"/>
      </w:tblGrid>
      <w:tr>
        <w:trPr/>
        <w:tc>
          <w:tcPr>
            <w:tcW w:w="100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advertising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distribution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networks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w:t>
            </w:r>
            <w:r>
              <w:rPr>
                <w:color w:val="000000"/>
              </w:rPr>
              <w:t>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w:t>
            </w:r>
            <w:r>
              <w:rPr>
                <w:color w:val="000000"/>
              </w:rPr>
              <w:t>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production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promotion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769</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1,051</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1,037</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4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Percentage changes that are considered not meaningful are denoted with NM.</w:t>
      </w:r>
    </w:p>
    <w:p>
      <w:pPr>
        <w:pStyle w:val="TextBody"/>
        <w:bidi w:val="0"/>
        <w:spacing w:lineRule="auto" w:line="288" w:before="96" w:after="108"/>
        <w:jc w:val="left"/>
        <w:rPr>
          <w:rFonts w:ascii="Helvetica;sans-serif" w:hAnsi="Helvetica;sans-serif"/>
          <w:b/>
          <w:color w:val="000000"/>
          <w:sz w:val="20"/>
        </w:rPr>
      </w:pPr>
      <w:r>
        <w:rPr>
          <w:rFonts w:ascii="Helvetica;sans-serif" w:hAnsi="Helvetica;sans-serif"/>
          <w:b/>
          <w:color w:val="000000"/>
          <w:sz w:val="20"/>
        </w:rPr>
        <w:t>Media Segment – Revenue</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Revenue increased for the three months ended September 30, 2026 compared to the same period in 2025, including the impact of the FIFA World Cup in the third quarter of 2026. Excluding incremental revenue associated with this event, revenue for the three months ended September 30, 2026 increased primarily due to increases in domestic distribution and international networks revenue. Revenue increased for the nine months ended September 30, 2026 compared to the same period in 2025 primarily due to the Milan Cortina Olympics, Super Bowl and FIFA World Cup in 2026. Excluding incremental revenue associated with these events, revenue for the nine months ended September 30, 2026 increased due to increases in domestic distribution, domestic advertising and international networks revenue.</w:t>
      </w:r>
    </w:p>
    <w:tbl>
      <w:tblPr>
        <w:tblW w:w="10205" w:type="dxa"/>
        <w:jc w:val="left"/>
        <w:tblInd w:w="0" w:type="dxa"/>
        <w:tblLayout w:type="fixed"/>
        <w:tblCellMar>
          <w:top w:w="28" w:type="dxa"/>
          <w:left w:w="28" w:type="dxa"/>
          <w:bottom w:w="28" w:type="dxa"/>
          <w:right w:w="28" w:type="dxa"/>
        </w:tblCellMar>
      </w:tblPr>
      <w:tblGrid>
        <w:gridCol w:w="1564"/>
        <w:gridCol w:w="1246"/>
        <w:gridCol w:w="1218"/>
        <w:gridCol w:w="211"/>
        <w:gridCol w:w="631"/>
        <w:gridCol w:w="109"/>
        <w:gridCol w:w="211"/>
        <w:gridCol w:w="631"/>
        <w:gridCol w:w="109"/>
        <w:gridCol w:w="263"/>
        <w:gridCol w:w="263"/>
        <w:gridCol w:w="367"/>
        <w:gridCol w:w="109"/>
        <w:gridCol w:w="109"/>
        <w:gridCol w:w="109"/>
        <w:gridCol w:w="211"/>
        <w:gridCol w:w="736"/>
        <w:gridCol w:w="109"/>
        <w:gridCol w:w="211"/>
        <w:gridCol w:w="736"/>
        <w:gridCol w:w="109"/>
        <w:gridCol w:w="263"/>
        <w:gridCol w:w="263"/>
        <w:gridCol w:w="417"/>
      </w:tblGrid>
      <w:tr>
        <w:trPr/>
        <w:tc>
          <w:tcPr>
            <w:tcW w:w="1564"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4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4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w:t>
            </w:r>
            <w:r>
              <w:rPr>
                <w:color w:val="000000"/>
              </w:rPr>
              <w:t>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w:t>
            </w:r>
            <w:r>
              <w:rPr>
                <w:color w:val="000000"/>
              </w:rPr>
              <w:t>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Olympics, Super Bowl, and FIFA World Cup</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revenue, excluding Olympics, Super Bowl and FIFA World Cup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5,136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4,744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8.3</w:t>
            </w: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15,488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13,813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12.1</w:t>
            </w: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r>
      <w:tr>
        <w:trPr/>
        <w:tc>
          <w:tcPr>
            <w:tcW w:w="40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domestic advertising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67.5</w:t>
            </w:r>
            <w:r>
              <w:rPr>
                <w:color w:val="000000"/>
              </w:rPr>
              <w:t>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Olympics, Super Bowl, and FIFA World Cup</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Domestic advertising revenue, excluding Olympics, Super Bowl and FIFA World Cup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1,560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1,556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0.3</w:t>
            </w: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4,819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4,418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9.1</w:t>
            </w: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r>
      <w:tr>
        <w:trPr/>
        <w:tc>
          <w:tcPr>
            <w:tcW w:w="4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domestic distribution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w:t>
            </w:r>
            <w:r>
              <w:rPr>
                <w:color w:val="000000"/>
              </w:rPr>
              <w:t>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w:t>
            </w:r>
            <w:r>
              <w:rPr>
                <w:color w:val="000000"/>
              </w:rPr>
              <w:t>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Olympics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02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Domestic distribution revenue, excluding Olympics</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6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2,069</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6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1,690</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22.4</w:t>
            </w:r>
            <w:r>
              <w:rPr>
                <w:color w:val="000000"/>
              </w:rPr>
              <w:t> </w:t>
            </w:r>
          </w:p>
        </w:tc>
        <w:tc>
          <w:tcPr>
            <w:tcW w:w="36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7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6,084</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w:t>
            </w:r>
          </w:p>
        </w:tc>
        <w:tc>
          <w:tcPr>
            <w:tcW w:w="7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4,990</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21.9</w:t>
            </w:r>
            <w:r>
              <w:rPr>
                <w:color w:val="000000"/>
              </w:rPr>
              <w:t> </w:t>
            </w:r>
          </w:p>
        </w:tc>
        <w:tc>
          <w:tcPr>
            <w:tcW w:w="41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Percentage changes that are considered not meaningful are denoted with NM.</w:t>
      </w:r>
    </w:p>
    <w:p>
      <w:pPr>
        <w:pStyle w:val="TextBody"/>
        <w:bidi w:val="0"/>
        <w:spacing w:lineRule="auto" w:line="288" w:before="0" w:after="60"/>
        <w:jc w:val="both"/>
        <w:rPr/>
      </w:pPr>
      <w:r>
        <w:rPr>
          <w:rFonts w:ascii="Helvetica;sans-serif" w:hAnsi="Helvetica;sans-serif"/>
          <w:b/>
          <w:i/>
          <w:color w:val="000000"/>
          <w:sz w:val="20"/>
        </w:rPr>
        <w:t>Domestic advertising revenue</w:t>
      </w:r>
      <w:r>
        <w:rPr>
          <w:color w:val="000000"/>
        </w:rPr>
        <w:t xml:space="preserve"> </w:t>
      </w:r>
      <w:r>
        <w:rPr>
          <w:rFonts w:ascii="Times New Roman;serif" w:hAnsi="Times New Roman;serif"/>
          <w:b w:val="false"/>
          <w:color w:val="000000"/>
          <w:sz w:val="20"/>
        </w:rPr>
        <w:t>primarily consists of revenue generated from sales of advertising on our linear television networks and other digital properties operating predominantly in the United States, and on Peacock.</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Domestic advertising revenue increased for the three months ended September 30, 2026 compared to the same period in 2025 primarily due to the impact of the FIFA World Cup in the third quarter of 2026. Excluding incremental revenue associated with this event, domestic advertising revenue remained consistent for the three months ended September 30, 2026 primarily due to an increase in revenue at Peacock, offset by a decrease in revenue at our linear television networks.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Domestic advertising revenue increased for the nine months ended September 30, 2026 compared to the same period in 2025 primarily due to the Milan Cortina Olympics, Super Bowl and FIFA World Cup in 2026. Excluding incremental revenue associated with these events, domestic advertising revenue increased for the nine months ended September 30, 2026 primarily due to an increase in revenue at Peacock and an increase in revenue at our linear television networks.</w:t>
      </w:r>
    </w:p>
    <w:p>
      <w:pPr>
        <w:pStyle w:val="TextBody"/>
        <w:bidi w:val="0"/>
        <w:spacing w:lineRule="auto" w:line="288" w:before="60" w:after="60"/>
        <w:jc w:val="both"/>
        <w:rPr/>
      </w:pPr>
      <w:r>
        <w:rPr>
          <w:rFonts w:ascii="Helvetica;sans-serif" w:hAnsi="Helvetica;sans-serif"/>
          <w:b/>
          <w:i/>
          <w:color w:val="000000"/>
          <w:sz w:val="20"/>
        </w:rPr>
        <w:t>Domestic distribution revenue</w:t>
      </w:r>
      <w:r>
        <w:rPr>
          <w:color w:val="000000"/>
        </w:rPr>
        <w:t xml:space="preserve"> </w:t>
      </w:r>
      <w:r>
        <w:rPr>
          <w:rFonts w:ascii="Times New Roman;serif" w:hAnsi="Times New Roman;serif"/>
          <w:b w:val="false"/>
          <w:color w:val="000000"/>
          <w:sz w:val="20"/>
        </w:rPr>
        <w:t>primarily consists of revenue generated from Peacock subscription fees and from the distribution of our television networks operating predominantly in the United States to traditional and virtual multichannel video providers, and from NBC-affiliated and Telemundo-affiliated local broadcast television stations.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31" name="Frame3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60" w:after="12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Domestic distribution revenue increased for the three months ended September 30, 2026 compared to the same period in 2025 primarily due to an increase in revenue at Peacock driven by higher average rates and an increase in paid subscribers compared to the prior year period. Domestic distribution revenue for our linear networks remained consistent primarily due to contractual rate increases, offset by a decline in the number of subscribers.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Domestic distribution revenue increased for the nine months ended September 30, 2026 compared to the same period in 2025, including the impact of the Milan Cortina Olympics in the first quarter of 2026. Excluding incremental revenue associated with this event, domestic distribution revenue increased for the nine months ended September 30, 2026 primarily due to an increase in revenue at Peacock driven by higher average rates and an increase in paid subscribers compared to the prior year period, partially offset by a decrease in revenue at our linear television networks. The decrease at our linear television networks was primarily due to a decline in the number of subscribers, partially offset by contractual rate increases.</w:t>
      </w:r>
    </w:p>
    <w:p>
      <w:pPr>
        <w:pStyle w:val="TextBody"/>
        <w:bidi w:val="0"/>
        <w:spacing w:lineRule="auto" w:line="288" w:before="60" w:after="60"/>
        <w:jc w:val="both"/>
        <w:rPr/>
      </w:pPr>
      <w:r>
        <w:rPr>
          <w:rFonts w:ascii="Helvetica;sans-serif" w:hAnsi="Helvetica;sans-serif"/>
          <w:b/>
          <w:i/>
          <w:color w:val="000000"/>
          <w:sz w:val="20"/>
        </w:rPr>
        <w:t>International networks revenue</w:t>
      </w:r>
      <w:r>
        <w:rPr>
          <w:color w:val="000000"/>
        </w:rPr>
        <w:t xml:space="preserve"> </w:t>
      </w:r>
      <w:r>
        <w:rPr>
          <w:rFonts w:ascii="Times New Roman;serif" w:hAnsi="Times New Roman;serif"/>
          <w:b w:val="false"/>
          <w:color w:val="000000"/>
          <w:sz w:val="20"/>
        </w:rPr>
        <w:t>primarily consists of revenue generated by our networks and other digital properties operating predominantly outside the United States, including</w:t>
      </w:r>
      <w:r>
        <w:rPr>
          <w:color w:val="000000"/>
          <w:shd w:fill="FFFFFF" w:val="clear"/>
        </w:rPr>
        <w:t xml:space="preserve"> </w:t>
      </w:r>
      <w:r>
        <w:rPr>
          <w:rFonts w:ascii="Times New Roman;serif" w:hAnsi="Times New Roman;serif"/>
          <w:b w:val="false"/>
          <w:color w:val="000000"/>
          <w:sz w:val="20"/>
          <w:shd w:fill="FFFFFF" w:val="clear"/>
        </w:rPr>
        <w:t xml:space="preserve">the Sky Sports networks in the United Kingdom and Italy. This revenue primarily results from the distribution of our television networks to traditional and virtual multichannel video providers and other platforms, as well as sales of advertising. A significant portion of this revenue comes from the Residential Connectivity &amp; Platforms segment.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International networks revenue increased for the three months ended September 30, 2026 compared to the same period in 2025 primarily due to an increase in revenue from certain international digital properties.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International networks revenue increased for the nine months ended September 30, 2026 compared to the same period in 2025 primarily due to an increase in revenue from certain international digital properties and to the positive impact of foreign currency.</w:t>
      </w:r>
    </w:p>
    <w:p>
      <w:pPr>
        <w:pStyle w:val="TextBody"/>
        <w:bidi w:val="0"/>
        <w:spacing w:lineRule="auto" w:line="288" w:before="60" w:after="60"/>
        <w:jc w:val="both"/>
        <w:rPr/>
      </w:pPr>
      <w:r>
        <w:rPr>
          <w:rFonts w:ascii="Helvetica;sans-serif" w:hAnsi="Helvetica;sans-serif"/>
          <w:b/>
          <w:i/>
          <w:color w:val="000000"/>
          <w:sz w:val="20"/>
        </w:rPr>
        <w:t xml:space="preserve">Other revenue </w:t>
      </w:r>
      <w:r>
        <w:rPr>
          <w:rFonts w:ascii="Times New Roman;serif" w:hAnsi="Times New Roman;serif"/>
          <w:b w:val="false"/>
          <w:color w:val="000000"/>
          <w:sz w:val="20"/>
        </w:rPr>
        <w:t>primarily consists of revenue generated from the licensing of our owned content and revenue generated from the commission earned from our commercial services agreement with Versant.</w:t>
      </w:r>
    </w:p>
    <w:p>
      <w:pPr>
        <w:pStyle w:val="TextBody"/>
        <w:bidi w:val="0"/>
        <w:spacing w:lineRule="auto" w:line="288" w:before="60" w:after="120"/>
        <w:ind w:left="0" w:right="0" w:firstLine="990"/>
        <w:jc w:val="center"/>
        <w:rPr>
          <w:rFonts w:ascii="Times New Roman;serif" w:hAnsi="Times New Roman;serif"/>
          <w:b w:val="false"/>
          <w:color w:val="000000"/>
          <w:sz w:val="20"/>
        </w:rPr>
      </w:pPr>
      <w:r>
        <w:rPr>
          <w:rFonts w:ascii="Times New Roman;serif" w:hAnsi="Times New Roman;serif"/>
          <w:b w:val="false"/>
          <w:color w:val="000000"/>
          <w:sz w:val="20"/>
        </w:rPr>
        <w:t>* *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Media segment total revenue included $1.8 billion and $5.8 billion related to Peacock for the three and nine months ended September 30, 2026, respectively, including amounts related to the FIFA World Cup for the three months ended September 30, 2026 and to the Milan Cortina Olympics, Super Bowl and FIFA World Cup for the nine months ended September 30, 2026. Media segment total revenue included $1.4 billion and $3.8 billion related to Peacock for the three and nine months ended September 30, 2025, respectively. Peacock revenue includes advertising, distribution and other revenue for our Peacock DTC streaming service, as well as distribution and advertising revenue from NBC Sports Network due to shared programming. We had 48 million and 41 million paid subscribers of Peacock as of September 30, 2026 and 2025, respectively. Peacock paid subscribers represent customers from which we recognize distribution revenue from the Peacock service, including both customers that pay us directly and customers receiving the service through arrangements with companies who sell Peacock on our behalf. In these arrangements, paid subscribers are counted based on the terms of the arrangement when the related revenue is recognized. As a result, certain customers are counted when they activate their account, while other customers are counted when the Peacock service is made available to them as part of their bundled service offering regardless of whether it is activated.</w:t>
      </w:r>
    </w:p>
    <w:p>
      <w:pPr>
        <w:pStyle w:val="TextBody"/>
        <w:bidi w:val="0"/>
        <w:spacing w:lineRule="auto" w:line="288" w:before="60" w:after="120"/>
        <w:jc w:val="both"/>
        <w:rPr>
          <w:rFonts w:ascii="Helvetica;sans-serif" w:hAnsi="Helvetica;sans-serif"/>
          <w:b/>
          <w:color w:val="000000"/>
          <w:sz w:val="20"/>
          <w:shd w:fill="FFFFFF" w:val="clear"/>
        </w:rPr>
      </w:pPr>
      <w:r>
        <w:rPr>
          <w:rFonts w:ascii="Helvetica;sans-serif" w:hAnsi="Helvetica;sans-serif"/>
          <w:b/>
          <w:color w:val="000000"/>
          <w:sz w:val="20"/>
          <w:shd w:fill="FFFFFF" w:val="clear"/>
        </w:rPr>
        <w:t>Media Segment – Costs and Expenses</w:t>
      </w:r>
    </w:p>
    <w:p>
      <w:pPr>
        <w:pStyle w:val="TextBody"/>
        <w:bidi w:val="0"/>
        <w:spacing w:lineRule="auto" w:line="288" w:before="60" w:after="60"/>
        <w:jc w:val="both"/>
        <w:rPr/>
      </w:pPr>
      <w:r>
        <w:rPr>
          <w:rFonts w:ascii="Helvetica;sans-serif" w:hAnsi="Helvetica;sans-serif"/>
          <w:b/>
          <w:i/>
          <w:color w:val="000000"/>
          <w:sz w:val="20"/>
        </w:rPr>
        <w:t xml:space="preserve">Programming and production costs </w:t>
      </w:r>
      <w:r>
        <w:rPr>
          <w:rFonts w:ascii="Times New Roman;serif" w:hAnsi="Times New Roman;serif"/>
          <w:b w:val="false"/>
          <w:color w:val="000000"/>
          <w:sz w:val="20"/>
        </w:rPr>
        <w:t>primarily consist of the amortization of owned and licensed content, including sports rights, direct production costs, production overhead, on-air talent costs and costs associated with the distribution of our television networks to multichannel video providers.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Programming and production costs decreased for the three months ended September 30, 2026 compared to the same period in 2025 primarily due to lower programming costs at Peacock and our international networks, partially offset by costs associated with the FIFA World Cup in the current year period.</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Programming and production costs increased for the nine months ended September 30, 2026 compared to the same period in 2025 primarily due to costs associated with the Milan Cortina Olympics, Super Bowl and FIFA World Cup and an increase due to the impact of NBA rights in the current year period.</w:t>
      </w:r>
    </w:p>
    <w:p>
      <w:pPr>
        <w:pStyle w:val="TextBody"/>
        <w:bidi w:val="0"/>
        <w:spacing w:lineRule="auto" w:line="288" w:before="60" w:after="60"/>
        <w:jc w:val="both"/>
        <w:rPr/>
      </w:pPr>
      <w:r>
        <w:rPr>
          <w:rFonts w:ascii="Helvetica;sans-serif" w:hAnsi="Helvetica;sans-serif"/>
          <w:b/>
          <w:i/>
          <w:color w:val="000000"/>
          <w:sz w:val="20"/>
        </w:rPr>
        <w:t>Marketing and promotion expenses</w:t>
      </w:r>
      <w:r>
        <w:rPr>
          <w:color w:val="000000"/>
        </w:rPr>
        <w:t xml:space="preserve"> </w:t>
      </w:r>
      <w:r>
        <w:rPr>
          <w:rFonts w:ascii="Times New Roman;serif" w:hAnsi="Times New Roman;serif"/>
          <w:b w:val="false"/>
          <w:color w:val="000000"/>
          <w:sz w:val="20"/>
        </w:rPr>
        <w:t>primarily consist of the costs associated with promoting Peacock and our television networks.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Marketing and promotion expenses increased for the three months ended September 30, 2026 compared to the same period in 2025 primarily due to higher costs related to marketing for entertainment programming on our linear networks and for Peacock.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785"/>
                <wp:effectExtent l="0" t="0" r="0" b="0"/>
                <wp:wrapNone/>
                <wp:docPr id="32" name="Frame3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60" w:after="12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Marketing and promotion expenses increased for the nine months ended September 30, 2026 compared to the same period in 2025 primarily due to higher costs associated with the Milan Cortina Olympics and FIFA World Cup, and higher costs related to marketing for Peacock.</w:t>
      </w:r>
    </w:p>
    <w:p>
      <w:pPr>
        <w:pStyle w:val="TextBody"/>
        <w:bidi w:val="0"/>
        <w:spacing w:lineRule="auto" w:line="288" w:before="60" w:after="60"/>
        <w:jc w:val="both"/>
        <w:rPr/>
      </w:pPr>
      <w:r>
        <w:rPr>
          <w:rFonts w:ascii="Helvetica;sans-serif" w:hAnsi="Helvetica;sans-serif"/>
          <w:b/>
          <w:i/>
          <w:color w:val="000000"/>
          <w:sz w:val="20"/>
        </w:rPr>
        <w:t>Other expenses</w:t>
      </w:r>
      <w:r>
        <w:rPr>
          <w:color w:val="000000"/>
        </w:rPr>
        <w:t xml:space="preserve"> </w:t>
      </w:r>
      <w:r>
        <w:rPr>
          <w:rFonts w:ascii="Times New Roman;serif" w:hAnsi="Times New Roman;serif"/>
          <w:b w:val="false"/>
          <w:color w:val="000000"/>
          <w:sz w:val="20"/>
        </w:rPr>
        <w:t>primarily consist of salaries, employee benefits, rent and other overhead expenses.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Other expenses increased for the three and nine months ended September 30, 2026 compared to the same periods in 2025 primarily due to an increase in costs related to Peacock. The increase for the nine months ended September 30, 2026 also included increases in costs related to the Milan Cortina Olympics and Super Bowl.</w:t>
      </w:r>
    </w:p>
    <w:p>
      <w:pPr>
        <w:pStyle w:val="TextBody"/>
        <w:bidi w:val="0"/>
        <w:spacing w:lineRule="auto" w:line="288" w:before="60" w:after="120"/>
        <w:ind w:left="0" w:right="0" w:firstLine="990"/>
        <w:jc w:val="center"/>
        <w:rPr>
          <w:rFonts w:ascii="Times New Roman;serif" w:hAnsi="Times New Roman;serif"/>
          <w:b w:val="false"/>
          <w:color w:val="000000"/>
          <w:sz w:val="20"/>
        </w:rPr>
      </w:pPr>
      <w:r>
        <w:rPr>
          <w:rFonts w:ascii="Times New Roman;serif" w:hAnsi="Times New Roman;serif"/>
          <w:b w:val="false"/>
          <w:color w:val="000000"/>
          <w:sz w:val="20"/>
        </w:rPr>
        <w:t>* * *</w:t>
      </w:r>
    </w:p>
    <w:p>
      <w:pPr>
        <w:pStyle w:val="TextBody"/>
        <w:bidi w:val="0"/>
        <w:spacing w:lineRule="auto" w:line="288" w:before="60" w:after="120"/>
        <w:jc w:val="both"/>
        <w:rPr/>
      </w:pPr>
      <w:r>
        <w:rPr>
          <w:rFonts w:ascii="Times New Roman;serif" w:hAnsi="Times New Roman;serif"/>
          <w:b w:val="false"/>
          <w:color w:val="000000"/>
          <w:sz w:val="20"/>
        </w:rPr>
        <w:t xml:space="preserve">Media segment total costs and expenses included $1.6 billion and $5.8 billion related to Peacock for the three and nine months ended September 30, 2026, respectively, including amounts related to the FIFA World Cup for the three months ended September 30, 2026 and to the Milan Cortina Olympics, Super Bowl, and FIFA World Cup for the nine months ended September 30, 2026. Media segment total costs and expenses included $1.6 billion and $4.4 billion </w:t>
      </w:r>
      <w:r>
        <w:rPr>
          <w:rFonts w:ascii="Times New Roman;serif" w:hAnsi="Times New Roman;serif"/>
          <w:b w:val="false"/>
          <w:color w:val="000000"/>
          <w:sz w:val="20"/>
          <w:shd w:fill="FFFFFF" w:val="clear"/>
        </w:rPr>
        <w:t xml:space="preserve">related to Peacock for the </w:t>
      </w:r>
      <w:r>
        <w:rPr>
          <w:rFonts w:ascii="Times New Roman;serif" w:hAnsi="Times New Roman;serif"/>
          <w:b w:val="false"/>
          <w:color w:val="000000"/>
          <w:sz w:val="20"/>
        </w:rPr>
        <w:t>three and nine months ended September 30, 2025, respectively</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Helvetica;sans-serif" w:hAnsi="Helvetica;sans-serif"/>
          <w:b/>
          <w:color w:val="000000"/>
          <w:sz w:val="24"/>
        </w:rPr>
      </w:pPr>
      <w:r>
        <w:rPr>
          <w:rFonts w:ascii="Helvetica;sans-serif" w:hAnsi="Helvetica;sans-serif"/>
          <w:b/>
          <w:color w:val="000000"/>
          <w:sz w:val="24"/>
        </w:rPr>
        <w:t>Studios Segment Results of Operations</w:t>
      </w:r>
    </w:p>
    <w:tbl>
      <w:tblPr>
        <w:tblW w:w="8545" w:type="dxa"/>
        <w:jc w:val="left"/>
        <w:tblInd w:w="0" w:type="dxa"/>
        <w:tblLayout w:type="fixed"/>
        <w:tblCellMar>
          <w:top w:w="28" w:type="dxa"/>
          <w:left w:w="28" w:type="dxa"/>
          <w:bottom w:w="28" w:type="dxa"/>
          <w:right w:w="28" w:type="dxa"/>
        </w:tblCellMar>
      </w:tblPr>
      <w:tblGrid>
        <w:gridCol w:w="908"/>
        <w:gridCol w:w="797"/>
        <w:gridCol w:w="800"/>
        <w:gridCol w:w="211"/>
        <w:gridCol w:w="616"/>
        <w:gridCol w:w="109"/>
        <w:gridCol w:w="211"/>
        <w:gridCol w:w="616"/>
        <w:gridCol w:w="109"/>
        <w:gridCol w:w="293"/>
        <w:gridCol w:w="293"/>
        <w:gridCol w:w="367"/>
        <w:gridCol w:w="109"/>
        <w:gridCol w:w="109"/>
        <w:gridCol w:w="109"/>
        <w:gridCol w:w="211"/>
        <w:gridCol w:w="631"/>
        <w:gridCol w:w="109"/>
        <w:gridCol w:w="211"/>
        <w:gridCol w:w="616"/>
        <w:gridCol w:w="109"/>
        <w:gridCol w:w="291"/>
        <w:gridCol w:w="294"/>
        <w:gridCol w:w="416"/>
      </w:tblGrid>
      <w:tr>
        <w:trPr/>
        <w:tc>
          <w:tcPr>
            <w:tcW w:w="9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Content licensing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Theatrical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w:t>
            </w:r>
            <w:r>
              <w:rPr>
                <w:color w:val="000000"/>
              </w:rPr>
              <w:t>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and production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promotion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w:t>
            </w:r>
            <w:r>
              <w:rPr>
                <w:color w:val="000000"/>
              </w:rPr>
              <w:t> </w:t>
            </w:r>
          </w:p>
        </w:tc>
        <w:tc>
          <w:tcPr>
            <w:tcW w:w="36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674</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72.0</w:t>
            </w:r>
            <w:r>
              <w:rPr>
                <w:color w:val="000000"/>
              </w:rPr>
              <w:t> </w:t>
            </w:r>
          </w:p>
        </w:tc>
        <w:tc>
          <w:tcPr>
            <w:tcW w:w="4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60" w:after="283"/>
        <w:jc w:val="left"/>
        <w:rPr/>
      </w:pPr>
      <w:r>
        <w:rPr>
          <w:rFonts w:ascii="Helvetica;sans-serif" w:hAnsi="Helvetica;sans-serif"/>
          <w:b/>
          <w:color w:val="000000"/>
          <w:sz w:val="20"/>
        </w:rPr>
        <w:t>Studios Seg</w:t>
      </w:r>
      <w:r>
        <w:rPr>
          <w:rFonts w:ascii="Helvetica;sans-serif" w:hAnsi="Helvetica;sans-serif"/>
          <w:b/>
          <w:color w:val="000000"/>
          <w:sz w:val="20"/>
          <w:shd w:fill="FFFFFF" w:val="clear"/>
        </w:rPr>
        <w:t>ment – Revenue</w:t>
      </w:r>
    </w:p>
    <w:p>
      <w:pPr>
        <w:pStyle w:val="TextBody"/>
        <w:bidi w:val="0"/>
        <w:spacing w:lineRule="auto" w:line="288" w:before="60" w:after="283"/>
        <w:jc w:val="both"/>
        <w:rPr/>
      </w:pPr>
      <w:r>
        <w:rPr>
          <w:rFonts w:ascii="Helvetica;sans-serif" w:hAnsi="Helvetica;sans-serif"/>
          <w:b/>
          <w:i/>
          <w:color w:val="000000"/>
          <w:sz w:val="20"/>
        </w:rPr>
        <w:t>Content licensing revenue</w:t>
      </w:r>
      <w:r>
        <w:rPr>
          <w:color w:val="000000"/>
        </w:rPr>
        <w:t xml:space="preserve"> </w:t>
      </w:r>
      <w:r>
        <w:rPr>
          <w:rFonts w:ascii="Times New Roman;serif" w:hAnsi="Times New Roman;serif"/>
          <w:b w:val="false"/>
          <w:color w:val="000000"/>
          <w:sz w:val="20"/>
        </w:rPr>
        <w:t xml:space="preserve">decreased for the three months ended </w:t>
      </w:r>
      <w:r>
        <w:rPr>
          <w:rFonts w:ascii="Times New Roman;serif" w:hAnsi="Times New Roman;serif"/>
          <w:b w:val="false"/>
          <w:color w:val="000000"/>
          <w:sz w:val="20"/>
          <w:shd w:fill="FFFFFF" w:val="clear"/>
        </w:rPr>
        <w:t xml:space="preserve">September 30, 2026 compared to the same period in 2025 </w:t>
      </w:r>
      <w:r>
        <w:rPr>
          <w:rFonts w:ascii="Times New Roman;serif" w:hAnsi="Times New Roman;serif"/>
          <w:b w:val="false"/>
          <w:color w:val="000000"/>
          <w:sz w:val="20"/>
        </w:rPr>
        <w:t xml:space="preserve">primarily due to the timing of when content was made available by our television studios under licensing agreements. </w:t>
      </w:r>
    </w:p>
    <w:p>
      <w:pPr>
        <w:pStyle w:val="TextBody"/>
        <w:bidi w:val="0"/>
        <w:spacing w:lineRule="auto" w:line="288" w:before="60" w:after="283"/>
        <w:jc w:val="both"/>
        <w:rPr/>
      </w:pPr>
      <w:r>
        <w:rPr>
          <w:rFonts w:ascii="Times New Roman;serif" w:hAnsi="Times New Roman;serif"/>
          <w:b w:val="false"/>
          <w:color w:val="000000"/>
          <w:sz w:val="20"/>
        </w:rPr>
        <w:t xml:space="preserve">Content licensing revenue increased for the nine months ended </w:t>
      </w:r>
      <w:r>
        <w:rPr>
          <w:rFonts w:ascii="Times New Roman;serif" w:hAnsi="Times New Roman;serif"/>
          <w:b w:val="false"/>
          <w:color w:val="000000"/>
          <w:sz w:val="20"/>
          <w:shd w:fill="FFFFFF" w:val="clear"/>
        </w:rPr>
        <w:t xml:space="preserve">September 30, 2026 compared to the same period in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rPr>
        <w:t>primarily due to the timing of when content was made available by our television studios under licensing agreements, mostly driven by a renewed licensing agreement for content exclusively available for streaming on Peacock in the current year period.</w:t>
      </w:r>
    </w:p>
    <w:p>
      <w:pPr>
        <w:pStyle w:val="TextBody"/>
        <w:bidi w:val="0"/>
        <w:spacing w:lineRule="auto" w:line="288" w:before="60" w:after="60"/>
        <w:jc w:val="both"/>
        <w:rPr/>
      </w:pPr>
      <w:r>
        <w:rPr>
          <w:rFonts w:ascii="Helvetica;sans-serif" w:hAnsi="Helvetica;sans-serif"/>
          <w:b/>
          <w:i/>
          <w:color w:val="000000"/>
          <w:sz w:val="20"/>
        </w:rPr>
        <w:t>Theatrical revenue</w:t>
      </w:r>
      <w:r>
        <w:rPr>
          <w:color w:val="000000"/>
        </w:rPr>
        <w:t xml:space="preserve"> </w:t>
      </w:r>
      <w:r>
        <w:rPr>
          <w:rFonts w:ascii="Times New Roman;serif" w:hAnsi="Times New Roman;serif"/>
          <w:b w:val="false"/>
          <w:color w:val="000000"/>
          <w:sz w:val="20"/>
        </w:rPr>
        <w:t xml:space="preserve">increased for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 xml:space="preserve">three and nine months ended </w:t>
      </w:r>
      <w:r>
        <w:rPr>
          <w:rFonts w:ascii="Times New Roman;serif" w:hAnsi="Times New Roman;serif"/>
          <w:b w:val="false"/>
          <w:color w:val="000000"/>
          <w:sz w:val="20"/>
          <w:shd w:fill="FFFFFF" w:val="clear"/>
        </w:rPr>
        <w:t xml:space="preserve">September 30, 2026 compared to the same periods in 2025 primarily due to higher revenue from recent releases. Recent releases include </w:t>
      </w:r>
      <w:r>
        <w:rPr>
          <w:rFonts w:ascii="Times New Roman;serif" w:hAnsi="Times New Roman;serif"/>
          <w:b w:val="false"/>
          <w:i/>
          <w:color w:val="000000"/>
          <w:sz w:val="20"/>
          <w:shd w:fill="FFFFFF" w:val="clear"/>
        </w:rPr>
        <w:t>The Odyssey</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 xml:space="preserve">Minions &amp; Monsters </w:t>
      </w:r>
      <w:r>
        <w:rPr>
          <w:rFonts w:ascii="Times New Roman;serif" w:hAnsi="Times New Roman;serif"/>
          <w:b w:val="false"/>
          <w:color w:val="000000"/>
          <w:sz w:val="20"/>
          <w:shd w:fill="FFFFFF" w:val="clear"/>
        </w:rPr>
        <w:t>and</w:t>
      </w:r>
      <w:r>
        <w:rPr>
          <w:color w:val="000000"/>
          <w:shd w:fill="FFFFFF" w:val="clear"/>
        </w:rPr>
        <w:t xml:space="preserve"> </w:t>
      </w:r>
      <w:r>
        <w:rPr>
          <w:rFonts w:ascii="Times New Roman;serif" w:hAnsi="Times New Roman;serif"/>
          <w:b w:val="false"/>
          <w:i/>
          <w:color w:val="000000"/>
          <w:sz w:val="20"/>
          <w:shd w:fill="FFFFFF" w:val="clear"/>
        </w:rPr>
        <w:t xml:space="preserve">Obsession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three and nine months ended </w:t>
      </w:r>
      <w:r>
        <w:rPr>
          <w:rFonts w:ascii="Times New Roman;serif" w:hAnsi="Times New Roman;serif"/>
          <w:b w:val="false"/>
          <w:color w:val="000000"/>
          <w:sz w:val="20"/>
          <w:shd w:fill="FFFFFF" w:val="clear"/>
        </w:rPr>
        <w:t>September 30, 2026, as well as</w:t>
      </w:r>
      <w:r>
        <w:rPr>
          <w:color w:val="000000"/>
          <w:shd w:fill="FFFFFF" w:val="clear"/>
        </w:rPr>
        <w:t xml:space="preserve"> </w:t>
      </w:r>
      <w:r>
        <w:rPr>
          <w:rFonts w:ascii="Times New Roman;serif" w:hAnsi="Times New Roman;serif"/>
          <w:b w:val="false"/>
          <w:i/>
          <w:color w:val="000000"/>
          <w:sz w:val="20"/>
          <w:shd w:fill="FFFFFF" w:val="clear"/>
        </w:rPr>
        <w:t xml:space="preserve">The Super Mario Galaxy Movie </w:t>
      </w:r>
      <w:r>
        <w:rPr>
          <w:rFonts w:ascii="Times New Roman;serif" w:hAnsi="Times New Roman;serif"/>
          <w:b w:val="false"/>
          <w:color w:val="000000"/>
          <w:sz w:val="20"/>
          <w:shd w:fill="FFFFFF" w:val="clear"/>
        </w:rPr>
        <w:t>and the international distribution of</w:t>
      </w:r>
      <w:r>
        <w:rPr>
          <w:color w:val="000000"/>
          <w:shd w:fill="FFFFFF" w:val="clear"/>
        </w:rPr>
        <w:t xml:space="preserve"> </w:t>
      </w:r>
      <w:r>
        <w:rPr>
          <w:rFonts w:ascii="Times New Roman;serif" w:hAnsi="Times New Roman;serif"/>
          <w:b w:val="false"/>
          <w:i/>
          <w:color w:val="000000"/>
          <w:sz w:val="20"/>
          <w:shd w:fill="FFFFFF" w:val="clear"/>
        </w:rPr>
        <w:t xml:space="preserve">Michael </w:t>
      </w:r>
      <w:r>
        <w:rPr>
          <w:rFonts w:ascii="Times New Roman;serif" w:hAnsi="Times New Roman;serif"/>
          <w:b w:val="false"/>
          <w:color w:val="000000"/>
          <w:sz w:val="20"/>
          <w:shd w:fill="FFFFFF" w:val="clear"/>
        </w:rPr>
        <w:t>for the nine months ended September 30, 2026.</w:t>
      </w:r>
    </w:p>
    <w:p>
      <w:pPr>
        <w:pStyle w:val="TextBody"/>
        <w:bidi w:val="0"/>
        <w:spacing w:lineRule="auto" w:line="288" w:before="60" w:after="283"/>
        <w:jc w:val="left"/>
        <w:rPr>
          <w:rFonts w:ascii="Helvetica;sans-serif" w:hAnsi="Helvetica;sans-serif"/>
          <w:b/>
          <w:color w:val="000000"/>
          <w:sz w:val="20"/>
          <w:shd w:fill="FFFFFF" w:val="clear"/>
        </w:rPr>
      </w:pPr>
      <w:r>
        <w:rPr>
          <w:rFonts w:ascii="Helvetica;sans-serif" w:hAnsi="Helvetica;sans-serif"/>
          <w:b/>
          <w:color w:val="000000"/>
          <w:sz w:val="20"/>
          <w:shd w:fill="FFFFFF" w:val="clear"/>
        </w:rPr>
        <w:t>Studios Segment – Costs and Expenses</w:t>
      </w:r>
    </w:p>
    <w:p>
      <w:pPr>
        <w:pStyle w:val="TextBody"/>
        <w:bidi w:val="0"/>
        <w:spacing w:lineRule="auto" w:line="288" w:before="60" w:after="283"/>
        <w:jc w:val="both"/>
        <w:rPr/>
      </w:pPr>
      <w:r>
        <w:rPr>
          <w:rFonts w:ascii="Helvetica;sans-serif" w:hAnsi="Helvetica;sans-serif"/>
          <w:b/>
          <w:i/>
          <w:color w:val="000000"/>
          <w:sz w:val="20"/>
        </w:rPr>
        <w:t>Programming and production costs</w:t>
      </w:r>
      <w:r>
        <w:rPr>
          <w:color w:val="000000"/>
        </w:rPr>
        <w:t xml:space="preserve"> </w:t>
      </w:r>
      <w:r>
        <w:rPr>
          <w:rFonts w:ascii="Times New Roman;serif" w:hAnsi="Times New Roman;serif"/>
          <w:b w:val="false"/>
          <w:color w:val="000000"/>
          <w:sz w:val="20"/>
        </w:rPr>
        <w:t xml:space="preserve">decreased for the three months ended </w:t>
      </w:r>
      <w:r>
        <w:rPr>
          <w:rFonts w:ascii="Times New Roman;serif" w:hAnsi="Times New Roman;serif"/>
          <w:b w:val="false"/>
          <w:color w:val="000000"/>
          <w:sz w:val="20"/>
          <w:shd w:fill="FFFFFF" w:val="clear"/>
        </w:rPr>
        <w:t xml:space="preserve">September 30, 2026 compared to the same period in </w:t>
      </w:r>
      <w:r>
        <w:rPr>
          <w:rFonts w:ascii="Times New Roman;serif" w:hAnsi="Times New Roman;serif"/>
          <w:b w:val="false"/>
          <w:color w:val="000000"/>
          <w:sz w:val="20"/>
        </w:rPr>
        <w:t>2025 primarily due to lower costs associated with content licensing sales, partially offset by higher costs associated with theatrical releases.</w:t>
      </w:r>
    </w:p>
    <w:p>
      <w:pPr>
        <w:pStyle w:val="TextBody"/>
        <w:bidi w:val="0"/>
        <w:spacing w:lineRule="auto" w:line="288" w:before="60" w:after="283"/>
        <w:jc w:val="both"/>
        <w:rPr/>
      </w:pPr>
      <w:r>
        <w:rPr>
          <w:rFonts w:ascii="Times New Roman;serif" w:hAnsi="Times New Roman;serif"/>
          <w:b w:val="false"/>
          <w:color w:val="000000"/>
          <w:sz w:val="20"/>
        </w:rPr>
        <w:t xml:space="preserve">Programming and production costs increased for the nine months ended </w:t>
      </w:r>
      <w:r>
        <w:rPr>
          <w:rFonts w:ascii="Times New Roman;serif" w:hAnsi="Times New Roman;serif"/>
          <w:b w:val="false"/>
          <w:color w:val="000000"/>
          <w:sz w:val="20"/>
          <w:shd w:fill="FFFFFF" w:val="clear"/>
        </w:rPr>
        <w:t xml:space="preserve">September 30, 2026 </w:t>
      </w:r>
      <w:r>
        <w:rPr>
          <w:rFonts w:ascii="Times New Roman;serif" w:hAnsi="Times New Roman;serif"/>
          <w:b w:val="false"/>
          <w:color w:val="000000"/>
          <w:sz w:val="20"/>
        </w:rPr>
        <w:t>compared to the same period in 2025 primarily due to higher costs associated with theatrical releases.</w:t>
      </w:r>
    </w:p>
    <w:p>
      <w:pPr>
        <w:pStyle w:val="TextBody"/>
        <w:bidi w:val="0"/>
        <w:spacing w:lineRule="auto" w:line="288" w:before="60" w:after="60"/>
        <w:jc w:val="both"/>
        <w:rPr/>
      </w:pPr>
      <w:r>
        <w:rPr>
          <w:rFonts w:ascii="Helvetica;sans-serif" w:hAnsi="Helvetica;sans-serif"/>
          <w:b/>
          <w:i/>
          <w:color w:val="000000"/>
          <w:sz w:val="20"/>
        </w:rPr>
        <w:t>Marketing and promotion expenses</w:t>
      </w:r>
      <w:r>
        <w:rPr>
          <w:color w:val="000000"/>
        </w:rPr>
        <w:t xml:space="preserve"> </w:t>
      </w:r>
      <w:r>
        <w:rPr>
          <w:rFonts w:ascii="Times New Roman;serif" w:hAnsi="Times New Roman;serif"/>
          <w:b w:val="false"/>
          <w:color w:val="000000"/>
          <w:sz w:val="20"/>
        </w:rPr>
        <w:t>decreased for the three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September 30, 2026 </w:t>
      </w:r>
      <w:r>
        <w:rPr>
          <w:rFonts w:ascii="Times New Roman;serif" w:hAnsi="Times New Roman;serif"/>
          <w:b w:val="false"/>
          <w:color w:val="000000"/>
          <w:sz w:val="20"/>
          <w:shd w:fill="FFFFFF" w:val="clear"/>
        </w:rPr>
        <w:t>compared to the same period in 2025 primarily due to decreased spending on recent and upcoming theatrical film releases in the current year period.</w:t>
      </w:r>
    </w:p>
    <w:p>
      <w:pPr>
        <w:pStyle w:val="TextBody"/>
        <w:bidi w:val="0"/>
        <w:spacing w:lineRule="auto" w:line="288" w:before="60" w:after="120"/>
        <w:jc w:val="both"/>
        <w:rPr/>
      </w:pPr>
      <w:r>
        <w:rPr>
          <w:rFonts w:ascii="Times New Roman;serif" w:hAnsi="Times New Roman;serif"/>
          <w:b w:val="false"/>
          <w:color w:val="000000"/>
          <w:sz w:val="20"/>
        </w:rPr>
        <w:t>Marketing and promotion expenses increased for the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September 30, 2026 </w:t>
      </w:r>
      <w:r>
        <w:rPr>
          <w:rFonts w:ascii="Times New Roman;serif" w:hAnsi="Times New Roman;serif"/>
          <w:b w:val="false"/>
          <w:color w:val="000000"/>
          <w:sz w:val="20"/>
          <w:shd w:fill="FFFFFF" w:val="clear"/>
        </w:rPr>
        <w:t>compared to the same period in 2025 primarily due to increased spending on recent and upcoming theatrical film releases in the current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3" name="Frame3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60" w:after="12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lineRule="auto" w:line="288" w:before="136" w:after="283"/>
        <w:jc w:val="left"/>
        <w:rPr>
          <w:rFonts w:ascii="Helvetica;sans-serif" w:hAnsi="Helvetica;sans-serif"/>
          <w:b/>
          <w:color w:val="000000"/>
          <w:sz w:val="24"/>
        </w:rPr>
      </w:pPr>
      <w:r>
        <w:rPr>
          <w:rFonts w:ascii="Helvetica;sans-serif" w:hAnsi="Helvetica;sans-serif"/>
          <w:b/>
          <w:color w:val="000000"/>
          <w:sz w:val="24"/>
        </w:rPr>
        <w:t xml:space="preserve">Theme Parks Segment Results of Operations </w:t>
      </w:r>
    </w:p>
    <w:tbl>
      <w:tblPr>
        <w:tblW w:w="7643" w:type="dxa"/>
        <w:jc w:val="center"/>
        <w:tblInd w:w="0" w:type="dxa"/>
        <w:tblLayout w:type="fixed"/>
        <w:tblCellMar>
          <w:top w:w="28" w:type="dxa"/>
          <w:left w:w="28" w:type="dxa"/>
          <w:bottom w:w="28" w:type="dxa"/>
          <w:right w:w="28" w:type="dxa"/>
        </w:tblCellMar>
      </w:tblPr>
      <w:tblGrid>
        <w:gridCol w:w="614"/>
        <w:gridCol w:w="539"/>
        <w:gridCol w:w="541"/>
        <w:gridCol w:w="211"/>
        <w:gridCol w:w="616"/>
        <w:gridCol w:w="109"/>
        <w:gridCol w:w="211"/>
        <w:gridCol w:w="616"/>
        <w:gridCol w:w="109"/>
        <w:gridCol w:w="291"/>
        <w:gridCol w:w="294"/>
        <w:gridCol w:w="367"/>
        <w:gridCol w:w="109"/>
        <w:gridCol w:w="109"/>
        <w:gridCol w:w="109"/>
        <w:gridCol w:w="211"/>
        <w:gridCol w:w="631"/>
        <w:gridCol w:w="109"/>
        <w:gridCol w:w="211"/>
        <w:gridCol w:w="631"/>
        <w:gridCol w:w="109"/>
        <w:gridCol w:w="239"/>
        <w:gridCol w:w="241"/>
        <w:gridCol w:w="416"/>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(17.1)</w:t>
            </w:r>
          </w:p>
        </w:tc>
        <w:tc>
          <w:tcPr>
            <w:tcW w:w="36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4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140" w:after="283"/>
        <w:jc w:val="both"/>
        <w:rPr/>
      </w:pPr>
      <w:r>
        <w:rPr>
          <w:rFonts w:ascii="Helvetica;sans-serif" w:hAnsi="Helvetica;sans-serif"/>
          <w:b/>
          <w:color w:val="000000"/>
          <w:sz w:val="20"/>
        </w:rPr>
        <w:t>Theme parks segment revenue</w:t>
      </w:r>
      <w:r>
        <w:rPr>
          <w:color w:val="000000"/>
        </w:rPr>
        <w:t xml:space="preserve"> </w:t>
      </w:r>
      <w:r>
        <w:rPr>
          <w:rFonts w:ascii="Times New Roman;serif" w:hAnsi="Times New Roman;serif"/>
          <w:b w:val="false"/>
          <w:color w:val="000000"/>
          <w:sz w:val="20"/>
        </w:rPr>
        <w:t xml:space="preserve">decreased for the three months ended September 30, 2026 compared to the same period in 2025 primarily due to lower revenue from park admissions, including from the impact of increased promotional activity. </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Theme parks segment revenue increased for the nine months ended September 30, 2026 compared to the same period in 2025 primarily due to higher revenue driven by the opening of Epic Universe in May 2025, partially offset by a decrease at our international theme parks.</w:t>
      </w:r>
    </w:p>
    <w:p>
      <w:pPr>
        <w:pStyle w:val="TextBody"/>
        <w:bidi w:val="0"/>
        <w:spacing w:lineRule="auto" w:line="288" w:before="60" w:after="120"/>
        <w:jc w:val="both"/>
        <w:rPr/>
      </w:pPr>
      <w:r>
        <w:rPr>
          <w:rFonts w:ascii="Helvetica;sans-serif" w:hAnsi="Helvetica;sans-serif"/>
          <w:b/>
          <w:color w:val="000000"/>
          <w:sz w:val="20"/>
        </w:rPr>
        <w:t>Theme parks segment costs and expenses</w:t>
      </w:r>
      <w:r>
        <w:rPr>
          <w:color w:val="000000"/>
        </w:rPr>
        <w:t xml:space="preserve"> </w:t>
      </w:r>
      <w:r>
        <w:rPr>
          <w:rFonts w:ascii="Times New Roman;serif" w:hAnsi="Times New Roman;serif"/>
          <w:b w:val="false"/>
          <w:color w:val="000000"/>
          <w:sz w:val="20"/>
        </w:rPr>
        <w:t>increased for the three months ended September 30, 2026 compared to the same period in 2025 primarily due to operating costs associated with our domestic theme parks, partially offset by a decrease in operating costs at our international theme parks.</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Theme parks segment costs and expenses increased for the nine months ended September 30, 2026 compared to the same period in 2025 primarily due to operating costs associated with Epic Universe.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Helvetica;sans-serif" w:hAnsi="Helvetica;sans-serif"/>
          <w:b/>
          <w:color w:val="000000"/>
          <w:sz w:val="24"/>
        </w:rPr>
      </w:pPr>
      <w:r>
        <w:rPr>
          <w:rFonts w:ascii="Helvetica;sans-serif" w:hAnsi="Helvetica;sans-serif"/>
          <w:b/>
          <w:color w:val="000000"/>
          <w:sz w:val="24"/>
        </w:rPr>
        <w:t>Content &amp; Experiences Headquarters, Other and Eliminations</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Headquarters and Other Results of Operations</w:t>
      </w:r>
    </w:p>
    <w:tbl>
      <w:tblPr>
        <w:tblW w:w="7239" w:type="dxa"/>
        <w:jc w:val="left"/>
        <w:tblInd w:w="0" w:type="dxa"/>
        <w:tblLayout w:type="fixed"/>
        <w:tblCellMar>
          <w:top w:w="28" w:type="dxa"/>
          <w:left w:w="28" w:type="dxa"/>
          <w:bottom w:w="28" w:type="dxa"/>
          <w:right w:w="28" w:type="dxa"/>
        </w:tblCellMar>
      </w:tblPr>
      <w:tblGrid>
        <w:gridCol w:w="614"/>
        <w:gridCol w:w="539"/>
        <w:gridCol w:w="541"/>
        <w:gridCol w:w="211"/>
        <w:gridCol w:w="541"/>
        <w:gridCol w:w="109"/>
        <w:gridCol w:w="211"/>
        <w:gridCol w:w="541"/>
        <w:gridCol w:w="109"/>
        <w:gridCol w:w="239"/>
        <w:gridCol w:w="241"/>
        <w:gridCol w:w="367"/>
        <w:gridCol w:w="109"/>
        <w:gridCol w:w="109"/>
        <w:gridCol w:w="109"/>
        <w:gridCol w:w="211"/>
        <w:gridCol w:w="541"/>
        <w:gridCol w:w="109"/>
        <w:gridCol w:w="211"/>
        <w:gridCol w:w="541"/>
        <w:gridCol w:w="109"/>
        <w:gridCol w:w="255"/>
        <w:gridCol w:w="256"/>
        <w:gridCol w:w="416"/>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(204)</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w:t>
            </w:r>
            <w:r>
              <w:rPr>
                <w:color w:val="000000"/>
              </w:rPr>
              <w:t> </w:t>
            </w:r>
          </w:p>
        </w:tc>
        <w:tc>
          <w:tcPr>
            <w:tcW w:w="36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(614)</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(600)</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w:t>
            </w:r>
          </w:p>
        </w:tc>
        <w:tc>
          <w:tcPr>
            <w:tcW w:w="4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8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Headquarters and Other expenses primarily consist of overhead, personnel and other costs necessary to operate the Content &amp; Experiences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Eliminations</w:t>
      </w:r>
    </w:p>
    <w:tbl>
      <w:tblPr>
        <w:tblW w:w="7600" w:type="dxa"/>
        <w:jc w:val="left"/>
        <w:tblInd w:w="0" w:type="dxa"/>
        <w:tblLayout w:type="fixed"/>
        <w:tblCellMar>
          <w:top w:w="28" w:type="dxa"/>
          <w:left w:w="28" w:type="dxa"/>
          <w:bottom w:w="28" w:type="dxa"/>
          <w:right w:w="28" w:type="dxa"/>
        </w:tblCellMar>
      </w:tblPr>
      <w:tblGrid>
        <w:gridCol w:w="614"/>
        <w:gridCol w:w="539"/>
        <w:gridCol w:w="541"/>
        <w:gridCol w:w="211"/>
        <w:gridCol w:w="541"/>
        <w:gridCol w:w="109"/>
        <w:gridCol w:w="211"/>
        <w:gridCol w:w="541"/>
        <w:gridCol w:w="109"/>
        <w:gridCol w:w="293"/>
        <w:gridCol w:w="293"/>
        <w:gridCol w:w="367"/>
        <w:gridCol w:w="109"/>
        <w:gridCol w:w="109"/>
        <w:gridCol w:w="109"/>
        <w:gridCol w:w="211"/>
        <w:gridCol w:w="691"/>
        <w:gridCol w:w="109"/>
        <w:gridCol w:w="211"/>
        <w:gridCol w:w="691"/>
        <w:gridCol w:w="109"/>
        <w:gridCol w:w="239"/>
        <w:gridCol w:w="241"/>
        <w:gridCol w:w="402"/>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(42.2)</w:t>
            </w:r>
          </w:p>
        </w:tc>
        <w:tc>
          <w:tcPr>
            <w:tcW w:w="36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Percentage changes that are considered not meaningful are denoted with NM.</w:t>
      </w:r>
    </w:p>
    <w:p>
      <w:pPr>
        <w:pStyle w:val="TextBody"/>
        <w:bidi w:val="0"/>
        <w:spacing w:lineRule="auto" w:line="288" w:before="80" w:after="120"/>
        <w:jc w:val="both"/>
        <w:rPr>
          <w:rFonts w:ascii="Times New Roman;serif" w:hAnsi="Times New Roman;serif"/>
          <w:b w:val="false"/>
          <w:color w:val="000000"/>
          <w:sz w:val="20"/>
        </w:rPr>
      </w:pPr>
      <w:r>
        <w:rPr>
          <w:rFonts w:ascii="Times New Roman;serif" w:hAnsi="Times New Roman;serif"/>
          <w:b w:val="false"/>
          <w:color w:val="000000"/>
          <w:sz w:val="20"/>
        </w:rPr>
        <w:t>Amounts represent eliminations of transactions between segments in our Content &amp; Experiences business, the most significant being content licensing between the Studios and Media segments, which are affected by the timing of recognition of content licenses. The nine months ended September 30, 2026 includes the impact of a renewed licensing agreement for content exclusively available for streaming on Peacock.</w:t>
      </w:r>
    </w:p>
    <w:p>
      <w:pPr>
        <w:pStyle w:val="TextBody"/>
        <w:bidi w:val="0"/>
        <w:spacing w:lineRule="auto" w:line="288" w:before="80" w:after="120"/>
        <w:jc w:val="both"/>
        <w:rPr>
          <w:rFonts w:ascii="Times New Roman;serif" w:hAnsi="Times New Roman;serif"/>
          <w:b w:val="false"/>
          <w:color w:val="000000"/>
          <w:sz w:val="20"/>
        </w:rPr>
      </w:pPr>
      <w:r>
        <w:rPr>
          <w:rFonts w:ascii="Times New Roman;serif" w:hAnsi="Times New Roman;serif"/>
          <w:b w:val="false"/>
          <w:color w:val="000000"/>
          <w:sz w:val="20"/>
        </w:rPr>
        <w:t>Eliminations increase or decrease to the extent that additional content is made available to our other segments within the Content &amp; Experiences business. Refer to Note 2 for additional information on transactions between our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4" name="Frame3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60" w:after="12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lineRule="auto" w:line="288" w:before="240" w:after="120"/>
        <w:jc w:val="left"/>
        <w:rPr>
          <w:rFonts w:ascii="Helvetica;sans-serif" w:hAnsi="Helvetica;sans-serif"/>
          <w:b/>
          <w:color w:val="000000"/>
          <w:sz w:val="24"/>
        </w:rPr>
      </w:pPr>
      <w:r>
        <w:rPr>
          <w:rFonts w:ascii="Helvetica;sans-serif" w:hAnsi="Helvetica;sans-serif"/>
          <w:b/>
          <w:color w:val="000000"/>
          <w:sz w:val="24"/>
        </w:rPr>
        <w:t>Corporate, Other and Eliminations</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Corporate and Other Results of Operations</w:t>
      </w:r>
    </w:p>
    <w:tbl>
      <w:tblPr>
        <w:tblW w:w="7463" w:type="dxa"/>
        <w:jc w:val="center"/>
        <w:tblInd w:w="0" w:type="dxa"/>
        <w:tblLayout w:type="fixed"/>
        <w:tblCellMar>
          <w:top w:w="28" w:type="dxa"/>
          <w:left w:w="28" w:type="dxa"/>
          <w:bottom w:w="28" w:type="dxa"/>
          <w:right w:w="28" w:type="dxa"/>
        </w:tblCellMar>
      </w:tblPr>
      <w:tblGrid>
        <w:gridCol w:w="614"/>
        <w:gridCol w:w="539"/>
        <w:gridCol w:w="541"/>
        <w:gridCol w:w="211"/>
        <w:gridCol w:w="541"/>
        <w:gridCol w:w="109"/>
        <w:gridCol w:w="211"/>
        <w:gridCol w:w="541"/>
        <w:gridCol w:w="109"/>
        <w:gridCol w:w="239"/>
        <w:gridCol w:w="241"/>
        <w:gridCol w:w="367"/>
        <w:gridCol w:w="109"/>
        <w:gridCol w:w="109"/>
        <w:gridCol w:w="109"/>
        <w:gridCol w:w="211"/>
        <w:gridCol w:w="616"/>
        <w:gridCol w:w="109"/>
        <w:gridCol w:w="211"/>
        <w:gridCol w:w="616"/>
        <w:gridCol w:w="109"/>
        <w:gridCol w:w="291"/>
        <w:gridCol w:w="294"/>
        <w:gridCol w:w="416"/>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(299)</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(272)</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(9.7)</w:t>
            </w:r>
          </w:p>
        </w:tc>
        <w:tc>
          <w:tcPr>
            <w:tcW w:w="36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(917)</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(755)</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(21.5)</w:t>
            </w:r>
          </w:p>
        </w:tc>
        <w:tc>
          <w:tcPr>
            <w:tcW w:w="4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Corporate and Other primarily consists of overhead and personnel costs; our regional sports networks; and Comcast Spectacor, which owns the Philadelphia Flyers and the Xfinity Mobile Arena in Philadelphia, Pennsylvania.</w:t>
      </w:r>
    </w:p>
    <w:p>
      <w:pPr>
        <w:pStyle w:val="TextBody"/>
        <w:bidi w:val="0"/>
        <w:spacing w:lineRule="auto" w:line="288" w:before="60" w:after="120"/>
        <w:jc w:val="both"/>
        <w:rPr/>
      </w:pPr>
      <w:r>
        <w:rPr>
          <w:rFonts w:ascii="Helvetica;sans-serif" w:hAnsi="Helvetica;sans-serif"/>
          <w:b/>
          <w:color w:val="000000"/>
          <w:sz w:val="20"/>
        </w:rPr>
        <w:t>Corporate and Other revenue</w:t>
      </w:r>
      <w:r>
        <w:rPr>
          <w:color w:val="000000"/>
        </w:rPr>
        <w:t xml:space="preserve"> </w:t>
      </w:r>
      <w:r>
        <w:rPr>
          <w:rFonts w:ascii="Times New Roman;serif" w:hAnsi="Times New Roman;serif"/>
          <w:b w:val="false"/>
          <w:color w:val="000000"/>
          <w:sz w:val="20"/>
        </w:rPr>
        <w:t>increased for the three and nine months ended September 30, 2026 compared to the same periods in 2025 primarily due to increases in revenue from our corporate functions, partially offset by decreases from our regional sports networks. The increase for the nine months ended September 30, 2026 also includes an increase in revenue from Comcast Spectacor.</w:t>
      </w:r>
    </w:p>
    <w:p>
      <w:pPr>
        <w:pStyle w:val="TextBody"/>
        <w:bidi w:val="0"/>
        <w:spacing w:lineRule="auto" w:line="288" w:before="60" w:after="120"/>
        <w:jc w:val="both"/>
        <w:rPr/>
      </w:pPr>
      <w:r>
        <w:rPr>
          <w:rFonts w:ascii="Helvetica;sans-serif" w:hAnsi="Helvetica;sans-serif"/>
          <w:b/>
          <w:color w:val="000000"/>
          <w:sz w:val="20"/>
        </w:rPr>
        <w:t xml:space="preserve">Corporate and Other costs and expenses </w:t>
      </w:r>
      <w:r>
        <w:rPr>
          <w:rFonts w:ascii="Times New Roman;serif" w:hAnsi="Times New Roman;serif"/>
          <w:b w:val="false"/>
          <w:color w:val="000000"/>
          <w:sz w:val="20"/>
        </w:rPr>
        <w:t>increased for the three and nine months ended September 30, 2026 compared to the same periods in 2025 primarily driven by higher costs related to our corporate functions and increases related to Comcast Spectacor. The higher costs related to our corporate functions included marketing associated with the Milan Cortina Olympics for the nine months ended September 30, 2026.</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Eliminations</w:t>
      </w:r>
    </w:p>
    <w:tbl>
      <w:tblPr>
        <w:tblW w:w="7704" w:type="dxa"/>
        <w:jc w:val="left"/>
        <w:tblInd w:w="0" w:type="dxa"/>
        <w:tblLayout w:type="fixed"/>
        <w:tblCellMar>
          <w:top w:w="28" w:type="dxa"/>
          <w:left w:w="28" w:type="dxa"/>
          <w:bottom w:w="28" w:type="dxa"/>
          <w:right w:w="28" w:type="dxa"/>
        </w:tblCellMar>
      </w:tblPr>
      <w:tblGrid>
        <w:gridCol w:w="614"/>
        <w:gridCol w:w="539"/>
        <w:gridCol w:w="541"/>
        <w:gridCol w:w="211"/>
        <w:gridCol w:w="691"/>
        <w:gridCol w:w="109"/>
        <w:gridCol w:w="211"/>
        <w:gridCol w:w="691"/>
        <w:gridCol w:w="109"/>
        <w:gridCol w:w="239"/>
        <w:gridCol w:w="241"/>
        <w:gridCol w:w="351"/>
        <w:gridCol w:w="109"/>
        <w:gridCol w:w="109"/>
        <w:gridCol w:w="109"/>
        <w:gridCol w:w="211"/>
        <w:gridCol w:w="691"/>
        <w:gridCol w:w="109"/>
        <w:gridCol w:w="211"/>
        <w:gridCol w:w="691"/>
        <w:gridCol w:w="109"/>
        <w:gridCol w:w="203"/>
        <w:gridCol w:w="203"/>
        <w:gridCol w:w="402"/>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NM</w:t>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Percentage changes that are considered not meaningful are denoted with NM.</w:t>
      </w:r>
    </w:p>
    <w:p>
      <w:pPr>
        <w:pStyle w:val="TextBody"/>
        <w:bidi w:val="0"/>
        <w:spacing w:lineRule="auto" w:line="288" w:before="80" w:after="120"/>
        <w:jc w:val="both"/>
        <w:rPr>
          <w:rFonts w:ascii="Times New Roman;serif" w:hAnsi="Times New Roman;serif"/>
          <w:b w:val="false"/>
          <w:color w:val="000000"/>
          <w:sz w:val="20"/>
        </w:rPr>
      </w:pPr>
      <w:r>
        <w:rPr>
          <w:rFonts w:ascii="Times New Roman;serif" w:hAnsi="Times New Roman;serif"/>
          <w:b w:val="false"/>
          <w:color w:val="000000"/>
          <w:sz w:val="20"/>
        </w:rPr>
        <w:t>Amounts represent eliminations of transactions between our Connectivity &amp; Platforms, Content &amp; Experiences and other businesses, the most significant being distribution of television network programming between the Media and Residential Connectivity &amp; Platforms segments. Eliminations of transactions between segments within Content &amp; Experiences are presented separately. Amounts are affected by the periodic broadcast of the Olympic Games, including the Milan Cortina Olympics in the first quarter of 2026. Refer to Note 2 for additional information on transactions between our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Helvetica;sans-serif" w:hAnsi="Helvetica;sans-serif"/>
          <w:b/>
          <w:color w:val="000000"/>
          <w:sz w:val="24"/>
        </w:rPr>
      </w:pPr>
      <w:r>
        <w:rPr>
          <w:rFonts w:ascii="Helvetica;sans-serif" w:hAnsi="Helvetica;sans-serif"/>
          <w:b/>
          <w:color w:val="000000"/>
          <w:sz w:val="24"/>
        </w:rPr>
        <w:t>Non-GAAP Financial Measures</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Consolidated Adjusted EBITDA</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5" name="Frame3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60" w:after="12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We reconcile consolidated Adjusted EBITDA to net income attributable to Comcast Corporation. This measure should not be considered a substitute for operating income (loss), net income (loss), net income (loss) attributable to Comcast Corporation, or net cash provided by operating activities that we have reported in accordance with GAAP.</w:t>
      </w:r>
    </w:p>
    <w:p>
      <w:pPr>
        <w:pStyle w:val="TextBody"/>
        <w:bidi w:val="0"/>
        <w:spacing w:lineRule="auto" w:line="288" w:before="60" w:after="60"/>
        <w:jc w:val="both"/>
        <w:rPr>
          <w:rFonts w:ascii="Helvetica;sans-serif" w:hAnsi="Helvetica;sans-serif"/>
          <w:b/>
          <w:i/>
          <w:color w:val="000000"/>
          <w:sz w:val="20"/>
        </w:rPr>
      </w:pPr>
      <w:r>
        <w:rPr>
          <w:rFonts w:ascii="Helvetica;sans-serif" w:hAnsi="Helvetica;sans-serif"/>
          <w:b/>
          <w:i/>
          <w:color w:val="000000"/>
          <w:sz w:val="20"/>
        </w:rPr>
        <w:t>Reconciliation from Net Income Attributable to Comcast Corporation to Adjusted EBITDA</w:t>
      </w:r>
    </w:p>
    <w:tbl>
      <w:tblPr>
        <w:tblW w:w="9764" w:type="dxa"/>
        <w:jc w:val="left"/>
        <w:tblInd w:w="0" w:type="dxa"/>
        <w:tblLayout w:type="fixed"/>
        <w:tblCellMar>
          <w:top w:w="28" w:type="dxa"/>
          <w:left w:w="28" w:type="dxa"/>
          <w:bottom w:w="28" w:type="dxa"/>
          <w:right w:w="28" w:type="dxa"/>
        </w:tblCellMar>
      </w:tblPr>
      <w:tblGrid>
        <w:gridCol w:w="1709"/>
        <w:gridCol w:w="1498"/>
        <w:gridCol w:w="1517"/>
        <w:gridCol w:w="211"/>
        <w:gridCol w:w="631"/>
        <w:gridCol w:w="109"/>
        <w:gridCol w:w="109"/>
        <w:gridCol w:w="109"/>
        <w:gridCol w:w="109"/>
        <w:gridCol w:w="211"/>
        <w:gridCol w:w="631"/>
        <w:gridCol w:w="109"/>
        <w:gridCol w:w="109"/>
        <w:gridCol w:w="109"/>
        <w:gridCol w:w="109"/>
        <w:gridCol w:w="211"/>
        <w:gridCol w:w="736"/>
        <w:gridCol w:w="109"/>
        <w:gridCol w:w="109"/>
        <w:gridCol w:w="109"/>
        <w:gridCol w:w="109"/>
        <w:gridCol w:w="211"/>
        <w:gridCol w:w="736"/>
        <w:gridCol w:w="154"/>
      </w:tblGrid>
      <w:tr>
        <w:trPr/>
        <w:tc>
          <w:tcPr>
            <w:tcW w:w="170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4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Net income attributable to Comcast Corporation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17,830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and other (income) loss,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costs</w:t>
            </w:r>
            <w:r>
              <w:rPr>
                <w:rFonts w:ascii="Times New Roman;serif" w:hAnsi="Times New Roman;serif"/>
                <w:b w:val="false"/>
                <w:color w:val="000000"/>
                <w:sz w:val="13"/>
              </w:rPr>
              <w:t>(a)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Transaction-related costs</w:t>
            </w:r>
            <w:r>
              <w:rPr>
                <w:rFonts w:ascii="Times New Roman;serif" w:hAnsi="Times New Roman;serif"/>
                <w:b w:val="false"/>
                <w:color w:val="000000"/>
                <w:sz w:val="13"/>
              </w:rPr>
              <w:t>(b)</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adjustments</w:t>
            </w:r>
            <w:r>
              <w:rPr>
                <w:rFonts w:ascii="Times New Roman;serif" w:hAnsi="Times New Roman;serif"/>
                <w:b w:val="false"/>
                <w:color w:val="000000"/>
                <w:sz w:val="13"/>
              </w:rPr>
              <w:t>(c)</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9,106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9,669</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25,938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29,484</w:t>
            </w:r>
            <w:r>
              <w:rPr>
                <w:color w:val="000000"/>
              </w:rPr>
              <w:t>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(a)Transaction costs are incremental costs directly related to effectuating the Versant Separation and the proposed NBCUniversal Spin-off and primarily include advisory, legal and audit fees, as well as legal entity separation costs. The three and nine months ended September 30, 2026 include $22 million of transaction costs related to the proposed NBCUniversal Spin-off. The nine months ended September 30, 2026 also include $51 million of transaction costs related to the Versant Separation. The three and nine months ended September 30, 2025 include $26 million and $82 million, respectively, of transaction costs related to the Versant Separation. </w:t>
      </w:r>
    </w:p>
    <w:p>
      <w:pPr>
        <w:pStyle w:val="TextBody"/>
        <w:bidi w:val="0"/>
        <w:spacing w:lineRule="auto" w:line="288" w:before="20" w:after="12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(b)Transaction-related costs are incremental costs incurred related to the Versant Separation and the proposed NBCUniversal Spin-off, including costs that reflect strategic decisions about how the related stand-alone businesses will be structured or operated, which may be different than if they remained part of Comcast. Transaction-related costs primarily include certain separation-related employee compensation, severance and retention bonuses; IT separation and implementation costs; and other one-time costs. The three and nine months ended September 30, 2026 include $4 million of transaction-related costs related to the proposed NBCUniversal Spin-off. The three and nine months ended September 30, 2025 include $90 million and $166 million, respectively, of transaction-related costs related to the Versant Separation.</w:t>
      </w:r>
    </w:p>
    <w:p>
      <w:pPr>
        <w:pStyle w:val="TextBody"/>
        <w:bidi w:val="0"/>
        <w:spacing w:lineRule="auto" w:line="288" w:before="20" w:after="12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(c)Amounts represent the impact of certain other events, gains, losses or other charges that are excluded from Adjusted EBITDA. The three and nine months ended September 30, 2026 include certain share-based compensation expenses and costs related to our investment portfolio. The nine months ended September 30, 2026 also include a gain related to a legal settlement. The three and nine months ended September 30, 2025 include costs related to our investment portfolio.</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Constant Currency</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allow the evaluation of their underlying performance.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4785"/>
                <wp:effectExtent l="0" t="0" r="0" b="0"/>
                <wp:wrapNone/>
                <wp:docPr id="36" name="Frame3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60" w:after="12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lineRule="auto" w:line="288" w:before="60" w:after="60"/>
        <w:jc w:val="both"/>
        <w:rPr>
          <w:rFonts w:ascii="Helvetica;sans-serif" w:hAnsi="Helvetica;sans-serif"/>
          <w:b/>
          <w:i/>
          <w:color w:val="000000"/>
          <w:sz w:val="20"/>
        </w:rPr>
      </w:pPr>
      <w:r>
        <w:rPr>
          <w:rFonts w:ascii="Helvetica;sans-serif" w:hAnsi="Helvetica;sans-serif"/>
          <w:b/>
          <w:i/>
          <w:color w:val="000000"/>
          <w:sz w:val="20"/>
        </w:rPr>
        <w:t>Reconciliation of Connectivity &amp; Platforms Constant Currency</w:t>
      </w:r>
    </w:p>
    <w:tbl>
      <w:tblPr>
        <w:tblW w:w="10205" w:type="dxa"/>
        <w:jc w:val="left"/>
        <w:tblInd w:w="0" w:type="dxa"/>
        <w:tblLayout w:type="fixed"/>
        <w:tblCellMar>
          <w:top w:w="28" w:type="dxa"/>
          <w:left w:w="28" w:type="dxa"/>
          <w:bottom w:w="28" w:type="dxa"/>
          <w:right w:w="28" w:type="dxa"/>
        </w:tblCellMar>
      </w:tblPr>
      <w:tblGrid>
        <w:gridCol w:w="922"/>
        <w:gridCol w:w="709"/>
        <w:gridCol w:w="567"/>
        <w:gridCol w:w="211"/>
        <w:gridCol w:w="736"/>
        <w:gridCol w:w="301"/>
        <w:gridCol w:w="304"/>
        <w:gridCol w:w="626"/>
        <w:gridCol w:w="157"/>
        <w:gridCol w:w="247"/>
        <w:gridCol w:w="861"/>
        <w:gridCol w:w="352"/>
        <w:gridCol w:w="109"/>
        <w:gridCol w:w="109"/>
        <w:gridCol w:w="109"/>
        <w:gridCol w:w="211"/>
        <w:gridCol w:w="736"/>
        <w:gridCol w:w="301"/>
        <w:gridCol w:w="296"/>
        <w:gridCol w:w="676"/>
        <w:gridCol w:w="153"/>
        <w:gridCol w:w="245"/>
        <w:gridCol w:w="857"/>
        <w:gridCol w:w="410"/>
      </w:tblGrid>
      <w:tr>
        <w:trPr/>
        <w:tc>
          <w:tcPr>
            <w:tcW w:w="92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September 30, 2025</w:t>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Reported</w:t>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Effects of Foreign Currency</w:t>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Constant Currency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Reported</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Effects of Foreign Currency</w:t>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Constant Currency Amounts</w:t>
            </w:r>
          </w:p>
        </w:tc>
      </w:tr>
      <w:tr>
        <w:trPr/>
        <w:tc>
          <w:tcPr>
            <w:tcW w:w="2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Connectivity &amp; Platforms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17,613 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53,466 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Business Services Connectivity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7,648 </w:t>
            </w:r>
          </w:p>
        </w:tc>
        <w:tc>
          <w:tcPr>
            <w:tcW w:w="41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Connectivity &amp; Platforms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20,212</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20,189</w:t>
            </w:r>
            <w:r>
              <w:rPr>
                <w:color w:val="000000"/>
              </w:rPr>
              <w:t>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60,787</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61,114</w:t>
            </w:r>
            <w:r>
              <w:rPr>
                <w:color w:val="000000"/>
              </w:rPr>
              <w:t> </w:t>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Adjusted EBITDA</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Residential Connectivity &amp; Platforms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6,485 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20,378 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Services Connectivity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4,318 </w:t>
            </w:r>
          </w:p>
        </w:tc>
        <w:tc>
          <w:tcPr>
            <w:tcW w:w="41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Connectivity &amp; Platforms 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7,938</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7,939</w:t>
            </w:r>
            <w:r>
              <w:rPr>
                <w:color w:val="000000"/>
              </w:rPr>
              <w:t>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24,652</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24,696</w:t>
            </w:r>
            <w:r>
              <w:rPr>
                <w:color w:val="000000"/>
              </w:rPr>
              <w:t> </w:t>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Residential Connectivity &amp; Platforms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erif" w:hAnsi="Times New Roman;serif"/>
                <w:b w:val="false"/>
                <w:color w:val="000000"/>
                <w:sz w:val="20"/>
              </w:rPr>
              <w:t>bps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bps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Services Connectivity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erif" w:hAnsi="Times New Roman;serif"/>
                <w:b w:val="false"/>
                <w:color w:val="000000"/>
                <w:sz w:val="20"/>
              </w:rPr>
              <w:t>bps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erif" w:hAnsi="Times New Roman;serif"/>
                <w:b w:val="false"/>
                <w:color w:val="000000"/>
                <w:sz w:val="20"/>
              </w:rPr>
              <w:t>bps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41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9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Connectivity &amp; Platforms Adjusted EBITDA margin</w:t>
            </w:r>
          </w:p>
        </w:tc>
        <w:tc>
          <w:tcPr>
            <w:tcW w:w="94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39.3</w:t>
            </w:r>
            <w:r>
              <w:rPr>
                <w:color w:val="000000"/>
              </w:rPr>
              <w:t> </w:t>
            </w:r>
          </w:p>
        </w:tc>
        <w:tc>
          <w:tcPr>
            <w:tcW w:w="3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8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erif" w:hAnsi="Times New Roman;serif"/>
                <w:b/>
                <w:color w:val="000000"/>
                <w:sz w:val="20"/>
              </w:rPr>
              <w:t>bps</w:t>
            </w:r>
          </w:p>
        </w:tc>
        <w:tc>
          <w:tcPr>
            <w:tcW w:w="110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39.3</w:t>
            </w:r>
            <w:r>
              <w:rPr>
                <w:color w:val="000000"/>
              </w:rPr>
              <w:t> </w:t>
            </w:r>
          </w:p>
        </w:tc>
        <w:tc>
          <w:tcPr>
            <w:tcW w:w="3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40.6</w:t>
            </w:r>
            <w:r>
              <w:rPr>
                <w:color w:val="000000"/>
              </w:rPr>
              <w:t> </w:t>
            </w:r>
          </w:p>
        </w:tc>
        <w:tc>
          <w:tcPr>
            <w:tcW w:w="3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12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 bps</w:t>
            </w:r>
          </w:p>
        </w:tc>
        <w:tc>
          <w:tcPr>
            <w:tcW w:w="110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40.4</w:t>
            </w:r>
            <w:r>
              <w:rPr>
                <w:color w:val="000000"/>
              </w:rPr>
              <w:t> </w:t>
            </w:r>
          </w:p>
        </w:tc>
        <w:tc>
          <w:tcPr>
            <w:tcW w:w="4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983"/>
        <w:gridCol w:w="725"/>
        <w:gridCol w:w="660"/>
        <w:gridCol w:w="214"/>
        <w:gridCol w:w="750"/>
        <w:gridCol w:w="111"/>
        <w:gridCol w:w="348"/>
        <w:gridCol w:w="697"/>
        <w:gridCol w:w="176"/>
        <w:gridCol w:w="283"/>
        <w:gridCol w:w="992"/>
        <w:gridCol w:w="146"/>
        <w:gridCol w:w="109"/>
        <w:gridCol w:w="109"/>
        <w:gridCol w:w="109"/>
        <w:gridCol w:w="212"/>
        <w:gridCol w:w="739"/>
        <w:gridCol w:w="109"/>
        <w:gridCol w:w="331"/>
        <w:gridCol w:w="754"/>
        <w:gridCol w:w="170"/>
        <w:gridCol w:w="281"/>
        <w:gridCol w:w="981"/>
        <w:gridCol w:w="216"/>
      </w:tblGrid>
      <w:tr>
        <w:trPr/>
        <w:tc>
          <w:tcPr>
            <w:tcW w:w="98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September 30, 2025</w:t>
            </w:r>
          </w:p>
        </w:tc>
      </w:tr>
      <w:tr>
        <w:trPr/>
        <w:tc>
          <w:tcPr>
            <w:tcW w:w="2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Reported</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Effects of Foreign Currency</w:t>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Constant Currency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Reported</w:t>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Effects of Foreign Currency</w:t>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Constant Currency Amounts</w:t>
            </w:r>
          </w:p>
        </w:tc>
      </w:tr>
      <w:tr>
        <w:trPr/>
        <w:tc>
          <w:tcPr>
            <w:tcW w:w="23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12,176 </w:t>
            </w:r>
          </w:p>
        </w:tc>
        <w:tc>
          <w:tcPr>
            <w:tcW w:w="2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Technical and support</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5,899 </w:t>
            </w:r>
          </w:p>
        </w:tc>
        <w:tc>
          <w:tcPr>
            <w:tcW w:w="21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product costs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5,430 </w:t>
            </w:r>
          </w:p>
        </w:tc>
        <w:tc>
          <w:tcPr>
            <w:tcW w:w="2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promotion</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3,845 </w:t>
            </w:r>
          </w:p>
        </w:tc>
        <w:tc>
          <w:tcPr>
            <w:tcW w:w="21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service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21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6,991 </w:t>
            </w:r>
          </w:p>
        </w:tc>
        <w:tc>
          <w:tcPr>
            <w:tcW w:w="21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6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Connectivity &amp; Platforms costs and expenses</w:t>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12,274</w:t>
            </w:r>
            <w:r>
              <w:rPr>
                <w:color w:val="000000"/>
              </w:rPr>
              <w:t>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12,251</w:t>
            </w:r>
            <w:r>
              <w:rPr>
                <w:color w:val="000000"/>
              </w:rPr>
              <w:t> </w:t>
            </w:r>
          </w:p>
        </w:tc>
        <w:tc>
          <w:tcPr>
            <w:tcW w:w="1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36,135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w:t>
            </w:r>
            <w:r>
              <w:rPr>
                <w:color w:val="000000"/>
              </w:rPr>
              <w:t> </w:t>
            </w:r>
          </w:p>
        </w:tc>
        <w:tc>
          <w:tcPr>
            <w:tcW w:w="1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36,418</w:t>
            </w:r>
            <w:r>
              <w:rPr>
                <w:color w:val="000000"/>
              </w:rPr>
              <w:t> </w:t>
            </w:r>
          </w:p>
        </w:tc>
        <w:tc>
          <w:tcPr>
            <w:tcW w:w="2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rFonts w:ascii="Helvetica;sans-serif" w:hAnsi="Helvetica;sans-serif"/>
          <w:b/>
          <w:i/>
          <w:color w:val="000000"/>
          <w:sz w:val="20"/>
        </w:rPr>
      </w:pPr>
      <w:r>
        <w:rPr>
          <w:rFonts w:ascii="Helvetica;sans-serif" w:hAnsi="Helvetica;sans-serif"/>
          <w:b/>
          <w:i/>
          <w:color w:val="000000"/>
          <w:sz w:val="20"/>
        </w:rPr>
        <w:t>Reconciliation of Residential Connectivity &amp; Platforms Constant Currency</w:t>
      </w:r>
    </w:p>
    <w:tbl>
      <w:tblPr>
        <w:tblW w:w="10205" w:type="dxa"/>
        <w:jc w:val="left"/>
        <w:tblInd w:w="0" w:type="dxa"/>
        <w:tblLayout w:type="fixed"/>
        <w:tblCellMar>
          <w:top w:w="28" w:type="dxa"/>
          <w:left w:w="28" w:type="dxa"/>
          <w:bottom w:w="28" w:type="dxa"/>
          <w:right w:w="28" w:type="dxa"/>
        </w:tblCellMar>
      </w:tblPr>
      <w:tblGrid>
        <w:gridCol w:w="841"/>
        <w:gridCol w:w="559"/>
        <w:gridCol w:w="515"/>
        <w:gridCol w:w="226"/>
        <w:gridCol w:w="677"/>
        <w:gridCol w:w="116"/>
        <w:gridCol w:w="411"/>
        <w:gridCol w:w="768"/>
        <w:gridCol w:w="205"/>
        <w:gridCol w:w="331"/>
        <w:gridCol w:w="993"/>
        <w:gridCol w:w="170"/>
        <w:gridCol w:w="109"/>
        <w:gridCol w:w="109"/>
        <w:gridCol w:w="109"/>
        <w:gridCol w:w="214"/>
        <w:gridCol w:w="750"/>
        <w:gridCol w:w="110"/>
        <w:gridCol w:w="403"/>
        <w:gridCol w:w="776"/>
        <w:gridCol w:w="206"/>
        <w:gridCol w:w="305"/>
        <w:gridCol w:w="1066"/>
        <w:gridCol w:w="236"/>
      </w:tblGrid>
      <w:tr>
        <w:trPr/>
        <w:tc>
          <w:tcPr>
            <w:tcW w:w="84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September 30, 2025</w:t>
            </w:r>
          </w:p>
        </w:tc>
      </w:tr>
      <w:tr>
        <w:trPr/>
        <w:tc>
          <w:tcPr>
            <w:tcW w:w="19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Reported</w:t>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Effects of Foreign Currency</w:t>
            </w:r>
          </w:p>
        </w:tc>
        <w:tc>
          <w:tcPr>
            <w:tcW w:w="1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Constant Currency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Reported</w:t>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Effects of Foreign Currency</w:t>
            </w:r>
          </w:p>
        </w:tc>
        <w:tc>
          <w:tcPr>
            <w:tcW w:w="1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Constant Currency Amounts</w:t>
            </w:r>
          </w:p>
        </w:tc>
      </w:tr>
      <w:tr>
        <w:trPr/>
        <w:tc>
          <w:tcPr>
            <w:tcW w:w="1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broadband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wireless service</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convergence revenue</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22,525 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wireless equipment</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connectivity</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 connectivity</w:t>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17,636</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17,613</w:t>
            </w: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53,140</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w:t>
            </w: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53,466</w:t>
            </w: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6,484</w:t>
            </w:r>
            <w:r>
              <w:rPr>
                <w:color w:val="000000"/>
              </w:rPr>
              <w:t>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6,485</w:t>
            </w:r>
            <w:r>
              <w:rPr>
                <w:color w:val="000000"/>
              </w:rPr>
              <w:t> </w:t>
            </w:r>
          </w:p>
        </w:tc>
        <w:tc>
          <w:tcPr>
            <w:tcW w:w="1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20,332</w:t>
            </w:r>
            <w:r>
              <w:rPr>
                <w:color w:val="000000"/>
              </w:rPr>
              <w:t>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20,378</w:t>
            </w:r>
            <w:r>
              <w:rPr>
                <w:color w:val="000000"/>
              </w:rPr>
              <w:t> </w:t>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4785"/>
                <wp:effectExtent l="0" t="0" r="0" b="0"/>
                <wp:wrapNone/>
                <wp:docPr id="37" name="Frame3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60" w:after="12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Other Adjustments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we present adjusted information, such as revenue,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pPr>
      <w:r>
        <w:rPr>
          <w:rFonts w:ascii="Helvetica;sans-serif" w:hAnsi="Helvetica;sans-serif"/>
          <w:b/>
          <w:color w:val="000000"/>
          <w:sz w:val="24"/>
        </w:rPr>
        <w:t>Liquidity and Capital</w:t>
      </w:r>
      <w:r>
        <w:rPr>
          <w:color w:val="000000"/>
          <w:shd w:fill="FFFFFF" w:val="clear"/>
        </w:rPr>
        <w:t xml:space="preserve"> </w:t>
      </w:r>
      <w:r>
        <w:rPr>
          <w:rFonts w:ascii="Helvetica;sans-serif" w:hAnsi="Helvetica;sans-serif"/>
          <w:b/>
          <w:color w:val="000000"/>
          <w:sz w:val="24"/>
          <w:shd w:fill="FFFFFF" w:val="clear"/>
        </w:rPr>
        <w:t>Resources</w:t>
      </w:r>
    </w:p>
    <w:tbl>
      <w:tblPr>
        <w:tblW w:w="5364" w:type="dxa"/>
        <w:jc w:val="left"/>
        <w:tblInd w:w="0" w:type="dxa"/>
        <w:tblLayout w:type="fixed"/>
        <w:tblCellMar>
          <w:top w:w="28" w:type="dxa"/>
          <w:left w:w="28" w:type="dxa"/>
          <w:bottom w:w="28" w:type="dxa"/>
          <w:right w:w="28" w:type="dxa"/>
        </w:tblCellMar>
      </w:tblPr>
      <w:tblGrid>
        <w:gridCol w:w="1149"/>
        <w:gridCol w:w="1012"/>
        <w:gridCol w:w="1019"/>
        <w:gridCol w:w="211"/>
        <w:gridCol w:w="586"/>
        <w:gridCol w:w="109"/>
        <w:gridCol w:w="109"/>
        <w:gridCol w:w="109"/>
        <w:gridCol w:w="109"/>
        <w:gridCol w:w="211"/>
        <w:gridCol w:w="586"/>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billions)</w:t>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financing activities</w:t>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069" w:type="dxa"/>
        <w:jc w:val="left"/>
        <w:tblInd w:w="0" w:type="dxa"/>
        <w:tblLayout w:type="fixed"/>
        <w:tblCellMar>
          <w:top w:w="28" w:type="dxa"/>
          <w:left w:w="28" w:type="dxa"/>
          <w:bottom w:w="28" w:type="dxa"/>
          <w:right w:w="28" w:type="dxa"/>
        </w:tblCellMar>
      </w:tblPr>
      <w:tblGrid>
        <w:gridCol w:w="2352"/>
        <w:gridCol w:w="2070"/>
        <w:gridCol w:w="2087"/>
        <w:gridCol w:w="281"/>
        <w:gridCol w:w="682"/>
        <w:gridCol w:w="146"/>
        <w:gridCol w:w="109"/>
        <w:gridCol w:w="109"/>
        <w:gridCol w:w="109"/>
        <w:gridCol w:w="271"/>
        <w:gridCol w:w="656"/>
        <w:gridCol w:w="197"/>
      </w:tblGrid>
      <w:tr>
        <w:trPr/>
        <w:tc>
          <w:tcPr>
            <w:tcW w:w="2352"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billions)</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6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current assets and other noncurrent assets, net</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9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pPr>
      <w:r>
        <w:rPr>
          <w:rFonts w:ascii="Times New Roman;serif" w:hAnsi="Times New Roman;serif"/>
          <w:b w:val="false"/>
          <w:color w:val="000000"/>
          <w:sz w:val="20"/>
          <w:shd w:fill="FFFFFF" w:val="clear"/>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w:t>
      </w:r>
      <w:r>
        <w:rPr>
          <w:rFonts w:ascii="Times New Roman;serif" w:hAnsi="Times New Roman;serif"/>
          <w:b w:val="false"/>
          <w:color w:val="000000"/>
          <w:sz w:val="20"/>
        </w:rPr>
        <w:t xml:space="preserve">h equivalents and investments; available borrowings under our existing credit facility; and our ability to obtain future external financing. We anticipate that we will continue to use a substantial portion of our cash flows from operating activities in repaying our debt obligations, funding our capital expenditures and cash paid for intangible assets, investing in business opportunities, and returning capital to shareholders.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significant availability under our revolving credit facility and our commercial paper program to meet our short-term liquidity requirements. Our commercial paper program generally provides a lower-cost source of borrowing to fund our short-term working capital requirements. As of September 30, 2026, amounts available under our revolving credit facility, net of amounts outstanding under our commercial paper program and outstanding letters of credit and bank guarantees, totaled $11.8 billion.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revolving credit facility contains a financial covenant pertaining to leverage, which is the ratio of debt to EBITDA, as defined in the agreement. Compliance with this financial covenant is tested on a quarterly basis. As of September 30, 2026, we met this financial covenant, and we expect to remain in compliance with this financial covenant.</w:t>
      </w:r>
    </w:p>
    <w:p>
      <w:pPr>
        <w:pStyle w:val="TextBody"/>
        <w:bidi w:val="0"/>
        <w:spacing w:lineRule="auto" w:line="288" w:before="60" w:after="120"/>
        <w:jc w:val="left"/>
        <w:rPr/>
      </w:pPr>
      <w:r>
        <w:rPr>
          <w:rFonts w:ascii="Helvetica;sans-serif" w:hAnsi="Helvetica;sans-serif"/>
          <w:b/>
          <w:color w:val="000000"/>
          <w:sz w:val="20"/>
        </w:rPr>
        <w:t>Operating Activit</w:t>
      </w:r>
      <w:r>
        <w:rPr>
          <w:rFonts w:ascii="Helvetica;sans-serif" w:hAnsi="Helvetica;sans-serif"/>
          <w:b/>
          <w:color w:val="000000"/>
          <w:sz w:val="20"/>
          <w:shd w:fill="FFFFFF" w:val="clear"/>
        </w:rPr>
        <w:t>ies</w:t>
      </w:r>
    </w:p>
    <w:p>
      <w:pPr>
        <w:pStyle w:val="TextBody"/>
        <w:bidi w:val="0"/>
        <w:spacing w:lineRule="auto" w:line="288" w:before="60" w:after="120"/>
        <w:jc w:val="left"/>
        <w:rPr>
          <w:rFonts w:ascii="Helvetica;sans-serif" w:hAnsi="Helvetica;sans-serif"/>
          <w:b/>
          <w:color w:val="000000"/>
          <w:sz w:val="20"/>
          <w:shd w:fill="FFFFFF" w:val="clear"/>
        </w:rPr>
      </w:pPr>
      <w:r>
        <w:rPr>
          <w:rFonts w:ascii="Helvetica;sans-serif" w:hAnsi="Helvetica;sans-serif"/>
          <w:b/>
          <w:color w:val="000000"/>
          <w:sz w:val="20"/>
          <w:shd w:fill="FFFFFF" w:val="clear"/>
        </w:rPr>
        <w:t>Components of Net Cash Provided by Operating Activities</w:t>
      </w:r>
    </w:p>
    <w:tbl>
      <w:tblPr>
        <w:tblW w:w="6053" w:type="dxa"/>
        <w:jc w:val="left"/>
        <w:tblInd w:w="0" w:type="dxa"/>
        <w:tblLayout w:type="fixed"/>
        <w:tblCellMar>
          <w:top w:w="28" w:type="dxa"/>
          <w:left w:w="28" w:type="dxa"/>
          <w:bottom w:w="28" w:type="dxa"/>
          <w:right w:w="28" w:type="dxa"/>
        </w:tblCellMar>
      </w:tblPr>
      <w:tblGrid>
        <w:gridCol w:w="1295"/>
        <w:gridCol w:w="1135"/>
        <w:gridCol w:w="1139"/>
        <w:gridCol w:w="211"/>
        <w:gridCol w:w="736"/>
        <w:gridCol w:w="109"/>
        <w:gridCol w:w="109"/>
        <w:gridCol w:w="109"/>
        <w:gridCol w:w="109"/>
        <w:gridCol w:w="211"/>
        <w:gridCol w:w="736"/>
        <w:gridCol w:w="154"/>
      </w:tblGrid>
      <w:tr>
        <w:trPr/>
        <w:tc>
          <w:tcPr>
            <w:tcW w:w="129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w:t>
              <w:br/>
              <w:t>September 30,</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share-based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interest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investments and 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22,886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24,802</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 variance in changes in operating assets and liabilities for the nine months ended September 30, 2026 compared to the same period in 2025 was primarily related to the timing of amortization and related payments for our film and television costs, including the timing of sports, and the timing of third-party transferable tax credits purchases, partially offset by increases in accounts receivable and decreases in deferred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4785"/>
                <wp:effectExtent l="0" t="0" r="0" b="0"/>
                <wp:wrapNone/>
                <wp:docPr id="38" name="Frame3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60" w:after="12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Payments of income taxes decreased for the nine months ended September 30, 2026 compared to the same period in 2025 primarily due to the timing and amount of third-party transferable tax credit purchases, an income tax refund received in the current year period related to a capital loss carryback and additional deductions allowed under legislation enacted in 2025.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Legislation signed into law in 2025 in the United States is expected to continue to significantly reduce our payments of income taxes over the next several years, with variability across the years, primarily due to additional depreciation deductions.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Proceeds from investments and other decreased for the nine months ended September 30, 2026 compared to the same period in 2025 primarily due to a gain on a legal settlement in the current year period, with the related proceeds included in investing activities.</w:t>
      </w:r>
    </w:p>
    <w:p>
      <w:pPr>
        <w:pStyle w:val="TextBody"/>
        <w:bidi w:val="0"/>
        <w:spacing w:lineRule="auto" w:line="288" w:before="60" w:after="120"/>
        <w:jc w:val="left"/>
        <w:rPr>
          <w:rFonts w:ascii="Helvetica;sans-serif" w:hAnsi="Helvetica;sans-serif"/>
          <w:b/>
          <w:color w:val="000000"/>
          <w:sz w:val="20"/>
          <w:shd w:fill="FFFFFF" w:val="clear"/>
        </w:rPr>
      </w:pPr>
      <w:r>
        <w:rPr>
          <w:rFonts w:ascii="Helvetica;sans-serif" w:hAnsi="Helvetica;sans-serif"/>
          <w:b/>
          <w:color w:val="000000"/>
          <w:sz w:val="20"/>
          <w:shd w:fill="FFFFFF" w:val="clear"/>
        </w:rPr>
        <w:t>Investing Activities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decreased for the nine months ended September 30, 2026 compared to the same period in 2025 primarily due to the acquisition of Nitel in 2025, the purchase of an equity method investment in the prior year period, proceeds from a legal settlement in the current year period and proceeds from the sale of our Sky operations in Germany in the current year period (see Note 6). This decrease was partially offset by additional proceeds received in the prior year period for the sale of our interest in Hulu, an increase in capital expenditures and proceeds from the sale of a nonmarketable security in the prior year period. Capital expenditures increased for the nine months ended September 30, 2026 compared to the same period in 2025 primarily due to increased spending by the Connectivity &amp; Platforms businesses, partially offset by decreased spending by the Content &amp; Experiences businesses. The increased spending by Connectivity &amp; Platforms was primarily on customer premise equipment and scalable infrastructure, partially offset by decreased spending on line extensions. The decreased spending by Content &amp; Experiences was primarily driven by the opening of Epic Universe in 2025, partially offset by increased spending on the development of other destinations and experiences.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2026, we entered into an agreement to acquire the ITV Media &amp; Entertainment business from ITV plc for total consideration of up to £1.6 billion, subject to customary adjustments, including cash of £1.2 billion, noncash consideration valued at approximately £0.2 billion and variable consideration of up to £0.2 billion. The acquisition is expected to close in the second half of 2027, subject to various conditions and approvals.</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Financing Activities</w:t>
      </w:r>
    </w:p>
    <w:p>
      <w:pPr>
        <w:pStyle w:val="TextBody"/>
        <w:bidi w:val="0"/>
        <w:spacing w:lineRule="auto" w:line="288" w:before="60" w:after="120"/>
        <w:jc w:val="both"/>
        <w:rPr/>
      </w:pPr>
      <w:r>
        <w:rPr>
          <w:rFonts w:ascii="Times New Roman;serif" w:hAnsi="Times New Roman;serif"/>
          <w:b w:val="false"/>
          <w:color w:val="000000"/>
          <w:sz w:val="20"/>
          <w:shd w:fill="FFFFFF" w:val="clear"/>
        </w:rPr>
        <w:t xml:space="preserve">Net cash used in financing activities increased for the nine months ended September 30, 2026 compared to the same period in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primarily due to higher repurchases and repayments of debt, cash transferred to Versant, net in the current year period and lower proceeds from borrowings, partially offset by lower</w:t>
      </w:r>
      <w:r>
        <w:rPr>
          <w:color w:val="000000"/>
        </w:rPr>
        <w:t xml:space="preserve"> </w:t>
      </w:r>
      <w:r>
        <w:rPr>
          <w:rFonts w:ascii="Times New Roman;serif" w:hAnsi="Times New Roman;serif"/>
          <w:b w:val="false"/>
          <w:color w:val="000000"/>
          <w:sz w:val="20"/>
        </w:rPr>
        <w:t>repurchases of common stock under our share repurchase program and employee plans in the current year period.</w:t>
      </w:r>
    </w:p>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2025, Versant incurred $1.0 billion of indebtedness from the issuance of certain notes and on January 2, 2026, before the Distribution, Versant borrowed $2.0 billion of indebtedness from certain credit facilities. Versant’s $3.0 billion aggregate principal amount of indebtedness ceased to be consolidated indebtedness of Comcast in connection with the Versant Separation. On the Versant Separation Date, Versant distributed to us $2.25 billion of cash, which was funded by the $3.0 billion of prior indebtedness, resulting in a net cash distribution of $750 million to Versant in the first quarter of 2026.</w:t>
      </w:r>
    </w:p>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we made debt repayments of $10.4 billion, including the early purchase of $4.1 billion of senior notes maturing between January 2027 and June 2029 and $427 million of other senior notes, as well as $2.1 billion of 3.150% Notes due March 2026 and $629 million of 5.350% Notes due November 2027, which were paid using the proceeds from the distribution from Versant, together with cash on hand. We also made debt repayments of $3.0 billion principal amount of notes due at maturity.</w:t>
      </w:r>
    </w:p>
    <w:p>
      <w:pPr>
        <w:pStyle w:val="TextBody"/>
        <w:bidi w:val="0"/>
        <w:spacing w:lineRule="auto" w:line="288" w:before="140" w:after="120"/>
        <w:jc w:val="both"/>
        <w:rPr/>
      </w:pPr>
      <w:r>
        <w:rPr>
          <w:rFonts w:ascii="Times New Roman;serif" w:hAnsi="Times New Roman;serif"/>
          <w:b w:val="false"/>
          <w:color w:val="000000"/>
          <w:sz w:val="20"/>
        </w:rPr>
        <w:t>We have made, and may from time to time in the future make, optional repayments on our debt obligations, which may include repurchases or exchanges of our outst</w:t>
      </w:r>
      <w:r>
        <w:rPr>
          <w:rFonts w:ascii="Times New Roman;serif" w:hAnsi="Times New Roman;serif"/>
          <w:b w:val="false"/>
          <w:color w:val="000000"/>
          <w:sz w:val="20"/>
          <w:shd w:fill="FFFFFF" w:val="clear"/>
        </w:rPr>
        <w:t>an</w:t>
      </w:r>
      <w:r>
        <w:rPr>
          <w:rFonts w:ascii="Times New Roman;serif" w:hAnsi="Times New Roman;serif"/>
          <w:b w:val="false"/>
          <w:color w:val="000000"/>
          <w:sz w:val="20"/>
        </w:rPr>
        <w:t>ding public notes and debentures, depending on various factors, such as market conditions. Any such repurchases may be effected through privately negotiated transactions, market transactions, tender offers, redemptions or otherwise. In particular, we may repurchase varying amounts of our outstanding public notes and debentures with short to medium term maturities through privately negotiated or market transactions. See Notes 5, 6</w:t>
      </w:r>
      <w:r>
        <w:rPr>
          <w:color w:val="000000"/>
          <w:shd w:fill="FFFFFF" w:val="clear"/>
        </w:rPr>
        <w:t xml:space="preserve"> </w:t>
      </w:r>
      <w:r>
        <w:rPr>
          <w:rFonts w:ascii="Times New Roman;serif" w:hAnsi="Times New Roman;serif"/>
          <w:b w:val="false"/>
          <w:color w:val="000000"/>
          <w:sz w:val="20"/>
          <w:shd w:fill="FFFFFF" w:val="clear"/>
        </w:rPr>
        <w:t>and 7 for additional information on our financing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84785"/>
                <wp:effectExtent l="0" t="0" r="0" b="0"/>
                <wp:wrapNone/>
                <wp:docPr id="39" name="Frame3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60" w:after="12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lineRule="auto" w:line="276" w:before="60" w:after="120"/>
        <w:jc w:val="both"/>
        <w:rPr>
          <w:rFonts w:ascii="Helvetica;sans-serif" w:hAnsi="Helvetica;sans-serif"/>
          <w:b/>
          <w:i/>
          <w:color w:val="000000"/>
          <w:sz w:val="20"/>
        </w:rPr>
      </w:pPr>
      <w:r>
        <w:rPr>
          <w:rFonts w:ascii="Helvetica;sans-serif" w:hAnsi="Helvetica;sans-serif"/>
          <w:b/>
          <w:i/>
          <w:color w:val="000000"/>
          <w:sz w:val="20"/>
        </w:rPr>
        <w:t>Share Repurchases and Dividends</w:t>
      </w:r>
    </w:p>
    <w:p>
      <w:pPr>
        <w:pStyle w:val="TextBody"/>
        <w:bidi w:val="0"/>
        <w:spacing w:lineRule="auto" w:line="288" w:before="60" w:after="120"/>
        <w:jc w:val="both"/>
        <w:rPr/>
      </w:pPr>
      <w:r>
        <w:rPr>
          <w:rFonts w:ascii="Times New Roman;serif" w:hAnsi="Times New Roman;serif"/>
          <w:b w:val="false"/>
          <w:color w:val="000000"/>
          <w:sz w:val="20"/>
        </w:rPr>
        <w:t>In January 2025, our Board of Directors terminated the existing share repurchase program authorization and approved a new share repurchase program authorization of $15.0 billion, which has no expiration date. During the nine months ended September 30, 2026, we repurchased a total of 76 million shares of our Class A common stock for $2.2 billion under this share repurchase program. We did not purchase any shares outside of this program.</w:t>
      </w:r>
      <w:r>
        <w:rPr>
          <w:color w:val="000000"/>
          <w:shd w:fill="FFFFFF" w:val="clear"/>
        </w:rPr>
        <w:t xml:space="preserve"> </w:t>
      </w:r>
      <w:r>
        <w:rPr>
          <w:rFonts w:ascii="Times New Roman;serif" w:hAnsi="Times New Roman;serif"/>
          <w:b w:val="false"/>
          <w:color w:val="000000"/>
          <w:sz w:val="20"/>
        </w:rPr>
        <w:t>As of September 30, 2026, we had $6.7 billion re</w:t>
      </w:r>
      <w:r>
        <w:rPr>
          <w:rFonts w:ascii="Times New Roman;serif" w:hAnsi="Times New Roman;serif"/>
          <w:b w:val="false"/>
          <w:color w:val="000000"/>
          <w:sz w:val="20"/>
          <w:shd w:fill="FFFFFF" w:val="clear"/>
        </w:rPr>
        <w:t>maining under the authorizatio</w:t>
      </w:r>
      <w:r>
        <w:rPr>
          <w:rFonts w:ascii="Times New Roman;serif" w:hAnsi="Times New Roman;serif"/>
          <w:b w:val="false"/>
          <w:color w:val="000000"/>
          <w:sz w:val="20"/>
        </w:rPr>
        <w:t>n. In connection with the proposed NBCUniversal Spin-off, we suspended our share repurchase program as of the beginning of the third quarter of 2026.</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addition, we paid $358 million and $356 million for the nine months ended September 30, 2026 and 2025, respectively, related to employee taxes associated with the administration of our share-based compensation plans and excise taxes related to share repurchases.</w:t>
      </w:r>
    </w:p>
    <w:p>
      <w:pPr>
        <w:pStyle w:val="TextBody"/>
        <w:bidi w:val="0"/>
        <w:spacing w:lineRule="auto" w:line="288" w:before="60" w:after="120"/>
        <w:jc w:val="both"/>
        <w:rPr/>
      </w:pPr>
      <w:r>
        <w:rPr>
          <w:rFonts w:ascii="Times New Roman;serif" w:hAnsi="Times New Roman;serif"/>
          <w:b w:val="false"/>
          <w:color w:val="000000"/>
          <w:sz w:val="20"/>
        </w:rPr>
        <w:t xml:space="preserve">In January 2026, our Board of Directors approved a dividend consistent with the prior year of $1.32 per share on an annualized basis. During the nine months ended September 30, 2026, we paid dividends of </w:t>
      </w:r>
      <w:r>
        <w:rPr>
          <w:rFonts w:ascii="Times New Roman;serif" w:hAnsi="Times New Roman;serif"/>
          <w:b w:val="false"/>
          <w:color w:val="000000"/>
          <w:sz w:val="20"/>
          <w:shd w:fill="FFFFFF" w:val="clear"/>
        </w:rPr>
        <w:t>$3.6 billion.</w:t>
      </w:r>
      <w:r>
        <w:rPr>
          <w:color w:val="000000"/>
        </w:rPr>
        <w:t xml:space="preserve"> </w:t>
      </w:r>
      <w:r>
        <w:rPr>
          <w:rFonts w:ascii="Times New Roman;serif" w:hAnsi="Times New Roman;serif"/>
          <w:b w:val="false"/>
          <w:color w:val="000000"/>
          <w:sz w:val="20"/>
        </w:rPr>
        <w:t>In July 2026, our Board of Directors approved our third quarter dividend of $0.33 per share, to be paid in October 2026. We expect to continue to pay quarterly dividends, although each dividend is subject to approval by our Board of Directo</w:t>
      </w:r>
      <w:r>
        <w:rPr>
          <w:rFonts w:ascii="Times New Roman;serif" w:hAnsi="Times New Roman;serif"/>
          <w:b w:val="false"/>
          <w:color w:val="000000"/>
          <w:sz w:val="20"/>
          <w:shd w:fill="FFFFFF" w:val="clear"/>
        </w:rPr>
        <w:t>r</w:t>
      </w:r>
      <w:r>
        <w:rPr>
          <w:rFonts w:ascii="Times New Roman;serif" w:hAnsi="Times New Roman;serif"/>
          <w:b w:val="false"/>
          <w:color w:val="000000"/>
          <w:sz w:val="20"/>
        </w:rPr>
        <w:t>s.</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Guarantee Structure</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pStyle w:val="TextBody"/>
        <w:bidi w:val="0"/>
        <w:spacing w:lineRule="auto" w:line="288" w:before="60" w:after="120"/>
        <w:jc w:val="center"/>
        <w:rPr>
          <w:rFonts w:ascii="Helvetica;sans-serif" w:hAnsi="Helvetica;sans-serif"/>
          <w:b/>
          <w:color w:val="000000"/>
          <w:sz w:val="20"/>
        </w:rPr>
      </w:pPr>
      <w:r>
        <w:rPr>
          <w:rFonts w:ascii="Helvetica;sans-serif" w:hAnsi="Helvetica;sans-serif"/>
          <w:b/>
          <w:color w:val="000000"/>
          <w:sz w:val="20"/>
        </w:rPr>
        <w:t>Debt and Guarantee Structure</w:t>
      </w:r>
    </w:p>
    <w:tbl>
      <w:tblPr>
        <w:tblW w:w="10205" w:type="dxa"/>
        <w:jc w:val="left"/>
        <w:tblInd w:w="0" w:type="dxa"/>
        <w:tblLayout w:type="fixed"/>
        <w:tblCellMar>
          <w:top w:w="28" w:type="dxa"/>
          <w:left w:w="28" w:type="dxa"/>
          <w:bottom w:w="28" w:type="dxa"/>
          <w:right w:w="28" w:type="dxa"/>
        </w:tblCellMar>
      </w:tblPr>
      <w:tblGrid>
        <w:gridCol w:w="2916"/>
        <w:gridCol w:w="2569"/>
        <w:gridCol w:w="2583"/>
        <w:gridCol w:w="264"/>
        <w:gridCol w:w="657"/>
        <w:gridCol w:w="136"/>
        <w:gridCol w:w="255"/>
        <w:gridCol w:w="636"/>
        <w:gridCol w:w="189"/>
      </w:tblGrid>
      <w:tr>
        <w:trPr/>
        <w:tc>
          <w:tcPr>
            <w:tcW w:w="2916"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8068" w:type="dxa"/>
            <w:gridSpan w:val="3"/>
            <w:tcBorders/>
            <w:vAlign w:val="center"/>
          </w:tcPr>
          <w:p>
            <w:pPr>
              <w:pStyle w:val="TableContents"/>
              <w:bidi w:val="0"/>
              <w:spacing w:before="0" w:after="283"/>
              <w:jc w:val="left"/>
              <w:rPr>
                <w:sz w:val="4"/>
                <w:szCs w:val="4"/>
              </w:rPr>
            </w:pPr>
            <w:r>
              <w:rPr>
                <w:sz w:val="4"/>
                <w:szCs w:val="4"/>
              </w:rPr>
            </w:r>
          </w:p>
        </w:tc>
        <w:tc>
          <w:tcPr>
            <w:tcW w:w="2137" w:type="dxa"/>
            <w:gridSpan w:val="6"/>
            <w:tcBorders/>
          </w:tcPr>
          <w:p>
            <w:pPr>
              <w:pStyle w:val="TableContents"/>
              <w:bidi w:val="0"/>
              <w:spacing w:before="0" w:after="283"/>
              <w:jc w:val="left"/>
              <w:rPr>
                <w:sz w:val="4"/>
                <w:szCs w:val="4"/>
              </w:rPr>
            </w:pPr>
            <w:r>
              <w:rPr>
                <w:sz w:val="4"/>
                <w:szCs w:val="4"/>
              </w:rPr>
            </w:r>
          </w:p>
        </w:tc>
      </w:tr>
      <w:tr>
        <w:trPr/>
        <w:tc>
          <w:tcPr>
            <w:tcW w:w="8068"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billions)</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br/>
              <w:t>2026</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80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Debt Subject to Cross-Guarantees</w:t>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Comcast</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NBCUniversal</w:t>
            </w:r>
            <w:r>
              <w:rPr>
                <w:rFonts w:ascii="Times New Roman;serif" w:hAnsi="Times New Roman;serif"/>
                <w:b w:val="false"/>
                <w:color w:val="000000"/>
                <w:sz w:val="13"/>
              </w:rPr>
              <w:t>(a)</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Comcast Cable</w:t>
            </w:r>
            <w:r>
              <w:rPr>
                <w:rFonts w:ascii="Times New Roman;serif" w:hAnsi="Times New Roman;serif"/>
                <w:b w:val="false"/>
                <w:color w:val="000000"/>
                <w:sz w:val="13"/>
              </w:rPr>
              <w:t>(a)</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Debt Subject to One-Way Guarantees</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(a)</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Debt Not Guaranteed</w:t>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Universal Beijing Resort</w:t>
            </w:r>
            <w:r>
              <w:rPr>
                <w:rFonts w:ascii="Times New Roman;serif" w:hAnsi="Times New Roman;serif"/>
                <w:b w:val="false"/>
                <w:color w:val="000000"/>
                <w:sz w:val="13"/>
              </w:rPr>
              <w:t>(b)</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(c)</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 premiums, discounts, fair value adjustments for acquisition accounting and hedged positions, net</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8"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2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87.4</w:t>
            </w:r>
            <w:r>
              <w:rPr>
                <w:color w:val="000000"/>
              </w:rPr>
              <w:t> </w:t>
            </w:r>
          </w:p>
        </w:tc>
        <w:tc>
          <w:tcPr>
            <w:tcW w:w="1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98.9</w:t>
            </w:r>
            <w:r>
              <w:rPr>
                <w:color w:val="000000"/>
              </w:rPr>
              <w:t> </w:t>
            </w:r>
          </w:p>
        </w:tc>
        <w:tc>
          <w:tcPr>
            <w:tcW w:w="18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068"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068" w:type="dxa"/>
            <w:gridSpan w:val="3"/>
            <w:tcBorders/>
            <w:vAlign w:val="center"/>
          </w:tcPr>
          <w:p>
            <w:pPr>
              <w:pStyle w:val="TableContents"/>
              <w:bidi w:val="0"/>
              <w:spacing w:before="0" w:after="283"/>
              <w:jc w:val="left"/>
              <w:rPr>
                <w:sz w:val="4"/>
                <w:szCs w:val="4"/>
              </w:rPr>
            </w:pPr>
            <w:r>
              <w:rPr>
                <w:sz w:val="4"/>
                <w:szCs w:val="4"/>
              </w:rPr>
            </w:r>
          </w:p>
        </w:tc>
        <w:tc>
          <w:tcPr>
            <w:tcW w:w="2137"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(a)NBCUniversal Media, LLC (“NBCUniversal”), Comcast Cable Communications, LLC (“Comcast Cable”) and Comcast Holdings Corporation (“Comcast Holdings”), which is included within other debt subject to one-way guarantees, are each consolidated subsidiaries subject to the periodic reporting requirements of the SEC. The guarantee structures and related disclosures in this section, together with Exhibit 22 to our 2025 Annual Report on Form 10-K, satisfy these reporting obligations.</w:t>
      </w:r>
    </w:p>
    <w:p>
      <w:pPr>
        <w:pStyle w:val="TextBody"/>
        <w:bidi w:val="0"/>
        <w:spacing w:lineRule="auto" w:line="288" w:before="60" w:after="120"/>
        <w:ind w:left="0" w:right="0" w:hanging="360"/>
        <w:jc w:val="both"/>
        <w:rPr/>
      </w:pPr>
      <w:r>
        <w:rPr>
          <w:rFonts w:ascii="Times New Roman;serif" w:hAnsi="Times New Roman;serif"/>
          <w:b w:val="false"/>
          <w:color w:val="000000"/>
          <w:sz w:val="16"/>
        </w:rPr>
        <w:t xml:space="preserve">(b)Universal Beijing Resort debt financing is secured by the assets of Universal Beijing Resort and the equity interests of the investors. See Note </w:t>
      </w:r>
      <w:r>
        <w:rPr>
          <w:rFonts w:ascii="Times New Roman;serif" w:hAnsi="Times New Roman;serif"/>
          <w:b w:val="false"/>
          <w:color w:val="000000"/>
          <w:sz w:val="16"/>
          <w:shd w:fill="FFFFFF" w:val="clear"/>
        </w:rPr>
        <w:t>7</w:t>
      </w:r>
      <w:r>
        <w:rPr>
          <w:color w:val="000000"/>
        </w:rPr>
        <w:t xml:space="preserve"> </w:t>
      </w:r>
      <w:r>
        <w:rPr>
          <w:rFonts w:ascii="Times New Roman;serif" w:hAnsi="Times New Roman;serif"/>
          <w:b w:val="false"/>
          <w:color w:val="000000"/>
          <w:sz w:val="16"/>
        </w:rPr>
        <w:t>for additional information.</w:t>
      </w:r>
    </w:p>
    <w:p>
      <w:pPr>
        <w:pStyle w:val="TextBody"/>
        <w:bidi w:val="0"/>
        <w:spacing w:lineRule="auto" w:line="288" w:before="6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(c)Other as of December 31, 2025 includes $1.0 billion aggregate principal amount of 7.25% fixed-rate senior secured notes due January 2031 issued by Versant which was secured by the assets of Versant. Subsequent to December 31, 2025, the notes ceased to be our contractual obligation due to the completion of the Versant Separation.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84785"/>
                <wp:effectExtent l="0" t="0" r="0" b="0"/>
                <wp:wrapNone/>
                <wp:docPr id="40" name="Frame3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60" w:after="12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lineRule="auto" w:line="288" w:before="80" w:after="283"/>
        <w:jc w:val="both"/>
        <w:rPr>
          <w:rFonts w:ascii="Helvetica;sans-serif" w:hAnsi="Helvetica;sans-serif"/>
          <w:b/>
          <w:i/>
          <w:color w:val="000000"/>
          <w:sz w:val="20"/>
        </w:rPr>
      </w:pPr>
      <w:r>
        <w:rPr>
          <w:rFonts w:ascii="Helvetica;sans-serif" w:hAnsi="Helvetica;sans-serif"/>
          <w:b/>
          <w:i/>
          <w:color w:val="000000"/>
          <w:sz w:val="20"/>
        </w:rPr>
        <w:t>Cross-Guarantees</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Comcast, NBCUniversal and Comcast Cable (the “Guarantors”) fully and unconditionally, jointly and severally, guarantee each other’s debt securities. NBCUniversal and Comcast Cable also guarantee other borrowings of Comcast, including its revolving credit facility. These guarantees rank equally with all other general unsecured and unsubordinated obligations of the respective Guarantors. However, the obligations of the Guarantors under the guarantees are structurally subordinated to the indebtedness and 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Guarantors are each holding companies that principally hold investments in, borrow from and lend to non-guarantor subsidiary operating companies; issue and service third-party debt obligations; repurchase shares and pay dividends; and engage in certain corporate and headquarters activities. The Guarantors are generally dependent on non-guarantor subsidiary operating companies to fund these activities.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As of September 30, 2026 and December 31, 2025, the combined Guarantors have noncurrent notes payable to non-guarantor subsidiaries of $124 billion and $107 billion, respectively, and noncurrent notes receivable from non-guarantor subsidiaries of $16 billion and $14 billion, respectively. This financial information is that of the Guarantors presented on a combined basis with intercompany balances between the Guarantors eliminated. The combined financial information excludes financial information of non-guarantor subsidiaries. The underlying net assets of the non-guarantor subsidiaries are significantly in excess of the Guarantor obligations. Excluding investments in non-guarantor subsidiaries, external debt and the noncurrent notes payable and receivable with non-guarantor subsidiaries, the Guarantors do not have material assets, liabilities or results of operations.</w:t>
      </w:r>
    </w:p>
    <w:p>
      <w:pPr>
        <w:pStyle w:val="TextBody"/>
        <w:bidi w:val="0"/>
        <w:spacing w:lineRule="auto" w:line="288" w:before="60" w:after="60"/>
        <w:jc w:val="both"/>
        <w:rPr>
          <w:rFonts w:ascii="Helvetica;sans-serif" w:hAnsi="Helvetica;sans-serif"/>
          <w:b/>
          <w:i/>
          <w:color w:val="000000"/>
          <w:sz w:val="20"/>
        </w:rPr>
      </w:pPr>
      <w:r>
        <w:rPr>
          <w:rFonts w:ascii="Helvetica;sans-serif" w:hAnsi="Helvetica;sans-serif"/>
          <w:b/>
          <w:i/>
          <w:color w:val="000000"/>
          <w:sz w:val="20"/>
        </w:rPr>
        <w:t>One-Way Guarantees</w:t>
      </w:r>
    </w:p>
    <w:p>
      <w:pPr>
        <w:pStyle w:val="TextBody"/>
        <w:bidi w:val="0"/>
        <w:spacing w:lineRule="auto" w:line="288" w:before="60" w:after="120"/>
        <w:jc w:val="both"/>
        <w:rPr/>
      </w:pPr>
      <w:r>
        <w:rPr>
          <w:rFonts w:ascii="Times New Roman;serif" w:hAnsi="Times New Roman;serif"/>
          <w:b w:val="false"/>
          <w:color w:val="000000"/>
          <w:sz w:val="20"/>
        </w:rPr>
        <w:t>Comcast provides full and unconditional guarantees of certain debt issued by Sky Limited (“Sky”</w:t>
      </w:r>
      <w:r>
        <w:rPr>
          <w:rFonts w:ascii="Times New Roman;serif" w:hAnsi="Times New Roman;serif"/>
          <w:b w:val="false"/>
          <w:color w:val="000000"/>
          <w:sz w:val="16"/>
        </w:rPr>
        <w:t>)</w:t>
      </w:r>
      <w:r>
        <w:rPr>
          <w:rFonts w:ascii="Times New Roman;serif" w:hAnsi="Times New Roman;serif"/>
          <w:b w:val="false"/>
          <w:color w:val="000000"/>
          <w:sz w:val="20"/>
        </w:rPr>
        <w:t>, including all of its senior notes, and other consolidated subsidiaries not subject to the periodic reporting requirements of the SEC.</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Comcast also provides a full and unconditional guarantee of $138 million principal amount of subordinated debt issued by Comcast Holdings. Comcast’s obligations under this guarantee are subordinated and subject, in right of payment, to the prior payment in full of all of Comcast’s senior indebtedness, including debt guaranteed by Comcast on a senior basis, and are structurally subordinated to the indebtedness and other liabilities of its non-guarantor subsidiaries (for purposes of this Comcast Holdings discussion, Comcast Cable and NBCUniversal are included within the non-guarantor subsidiary group).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32% of our equity interests in Comcast Cable and NBCUniversal, respectively. </w:t>
      </w:r>
    </w:p>
    <w:p>
      <w:pPr>
        <w:pStyle w:val="TextBody"/>
        <w:bidi w:val="0"/>
        <w:spacing w:lineRule="auto" w:line="288" w:before="60" w:after="240"/>
        <w:jc w:val="both"/>
        <w:rPr>
          <w:rFonts w:ascii="Times New Roman;serif" w:hAnsi="Times New Roman;serif"/>
          <w:b w:val="false"/>
          <w:color w:val="000000"/>
          <w:sz w:val="20"/>
        </w:rPr>
      </w:pPr>
      <w:r>
        <w:rPr>
          <w:rFonts w:ascii="Times New Roman;serif" w:hAnsi="Times New Roman;serif"/>
          <w:b w:val="false"/>
          <w:color w:val="000000"/>
          <w:sz w:val="20"/>
        </w:rPr>
        <w:t>As of September 30, 2026 and December 31, 2025, Comcast and Comcast Holdings, the combined issuer and guarantor of the guaranteed subordinated debt, have noncurrent senior notes payable to non-guarantor subsidiaries of $88 billion and $71 billion, respectively, and noncurrent notes receivable from non-guarantor subsidiaries of $12 billion and $11 billion, respectively. This financial information is that of Comcast and Comcast Holdings presented on a combined basis with intercompany balances between Comcast and Comcast Holdings eliminated. The combined financial information excludes financial information of non-guarantor subsidiaries of Comcast and Comcast Holdings. The underlying net assets of the non-guarantor subsidiaries of Comcast and Comcast Holdings are significantly in excess of the obligations of Comcast and Comcast Holdings. Excluding investments in non-guarantor subsidiaries, external debt, and the noncurrent notes payable and receivable with non-guarantor subsidiaries, Comcast and Comcast Holdings do not have material assets, liabilities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84785"/>
                <wp:effectExtent l="0" t="0" r="0" b="0"/>
                <wp:wrapNone/>
                <wp:docPr id="41" name="Frame4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60" w:after="12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lineRule="auto" w:line="288" w:before="240" w:after="120"/>
        <w:jc w:val="left"/>
        <w:rPr>
          <w:rFonts w:ascii="Helvetica;sans-serif" w:hAnsi="Helvetica;sans-serif"/>
          <w:b/>
          <w:color w:val="000000"/>
          <w:sz w:val="24"/>
        </w:rPr>
      </w:pPr>
      <w:r>
        <w:rPr>
          <w:rFonts w:ascii="Helvetica;sans-serif" w:hAnsi="Helvetica;sans-serif"/>
          <w:b/>
          <w:color w:val="000000"/>
          <w:sz w:val="24"/>
        </w:rPr>
        <w:t>Critical Accounting Estimates</w:t>
      </w:r>
    </w:p>
    <w:p>
      <w:pPr>
        <w:pStyle w:val="TextBody"/>
        <w:bidi w:val="0"/>
        <w:spacing w:lineRule="auto" w:line="288" w:before="80" w:after="120"/>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pStyle w:val="TextBody"/>
        <w:bidi w:val="0"/>
        <w:spacing w:lineRule="auto" w:line="288" w:before="80" w:after="120"/>
        <w:jc w:val="both"/>
        <w:rPr>
          <w:rFonts w:ascii="Times New Roman;serif" w:hAnsi="Times New Roman;serif"/>
          <w:b w:val="false"/>
          <w:color w:val="000000"/>
          <w:sz w:val="20"/>
        </w:rPr>
      </w:pPr>
      <w:r>
        <w:rPr>
          <w:rFonts w:ascii="Times New Roman;serif" w:hAnsi="Times New Roman;serif"/>
          <w:b w:val="false"/>
          <w:color w:val="000000"/>
          <w:sz w:val="20"/>
        </w:rPr>
        <w:t>We believe our estimates associated with the valuation and impairment testing of goodwill and cable franchise rights are critical in the preparation of our consolidated financial statements. We assessed goodwill for impairment in connection with the Versant Separation and our change in segment composition in the first quarter of 2026. See Note 2 for additional information. Based on our assessment, no impairment was required. We also performed quantitative assessments as of July 1, 2026 for goodwill in each of our reporting units and for our cable franchise rights, pursuant to our practice of performing quantitative assessments from time to time. Based on these assessments, the estimated fair value of each reporting unit and of our cable franchise rights substantially exceeded their carrying values and no impairments were required.</w:t>
      </w:r>
    </w:p>
    <w:p>
      <w:pPr>
        <w:pStyle w:val="TextBody"/>
        <w:bidi w:val="0"/>
        <w:spacing w:lineRule="auto" w:line="288" w:before="80" w:after="120"/>
        <w:jc w:val="both"/>
        <w:rPr>
          <w:rFonts w:ascii="Times New Roman;serif" w:hAnsi="Times New Roman;serif"/>
          <w:b w:val="false"/>
          <w:color w:val="000000"/>
          <w:sz w:val="20"/>
        </w:rPr>
      </w:pPr>
      <w:r>
        <w:rPr>
          <w:rFonts w:ascii="Times New Roman;serif" w:hAnsi="Times New Roman;serif"/>
          <w:b w:val="false"/>
          <w:color w:val="000000"/>
          <w:sz w:val="20"/>
        </w:rPr>
        <w:t>Changes in market conditions, laws and regulations, and key assumptions made in future quantitative assessments, such as expected cash flows, competitive factors, discount rates, and value indications from market transactions, including the proposed NBCUniversal Spin-off, could negatively impact the results of future impairment testing and could result in the recognition of an impairment charge.</w:t>
      </w:r>
    </w:p>
    <w:p>
      <w:pPr>
        <w:pStyle w:val="TextBody"/>
        <w:bidi w:val="0"/>
        <w:spacing w:lineRule="auto" w:line="288" w:before="80" w:after="120"/>
        <w:jc w:val="both"/>
        <w:rPr>
          <w:rFonts w:ascii="Times New Roman;serif" w:hAnsi="Times New Roman;serif"/>
          <w:b w:val="false"/>
          <w:color w:val="000000"/>
          <w:sz w:val="20"/>
        </w:rPr>
      </w:pPr>
      <w:r>
        <w:rPr>
          <w:rFonts w:ascii="Times New Roman;serif" w:hAnsi="Times New Roman;serif"/>
          <w:b w:val="false"/>
          <w:color w:val="000000"/>
          <w:sz w:val="20"/>
        </w:rPr>
        <w:t>For a more complete discussion of the accounting estimates that we have identified as critical in the preparation of our condensed consolidated financial statements, please refer to our Management’s Discussion and Analysis of Financial Condition and Results of Operations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Helvetica;sans-serif" w:hAnsi="Helvetica;sans-serif"/>
          <w:b/>
          <w:color w:val="000000"/>
          <w:sz w:val="24"/>
        </w:rPr>
      </w:pPr>
      <w:r>
        <w:rPr>
          <w:rFonts w:ascii="Helvetica;sans-serif" w:hAnsi="Helvetica;sans-serif"/>
          <w:b/>
          <w:color w:val="000000"/>
          <w:sz w:val="24"/>
        </w:rPr>
        <w:t>ITEM 3: QUANTITATIVE AND QUALITATIVE DISCLOSURES ABOUT MARKET RISK</w:t>
      </w:r>
    </w:p>
    <w:p>
      <w:pPr>
        <w:pStyle w:val="TextBody"/>
        <w:bidi w:val="0"/>
        <w:spacing w:lineRule="auto" w:line="288" w:before="140" w:after="240"/>
        <w:jc w:val="both"/>
        <w:rPr>
          <w:rFonts w:ascii="Times New Roman;serif" w:hAnsi="Times New Roman;serif"/>
          <w:b w:val="false"/>
          <w:color w:val="000000"/>
          <w:sz w:val="20"/>
        </w:rPr>
      </w:pPr>
      <w:r>
        <w:rPr>
          <w:rFonts w:ascii="Times New Roman;serif" w:hAnsi="Times New Roman;serif"/>
          <w:b w:val="false"/>
          <w:color w:val="000000"/>
          <w:sz w:val="20"/>
        </w:rPr>
        <w:t>We have evaluated the information required under this item that was disclosed in our 2025 Annual Report on Form 10-K and there have been no material changes to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Helvetica;sans-serif" w:hAnsi="Helvetica;sans-serif"/>
          <w:b/>
          <w:color w:val="000000"/>
          <w:sz w:val="24"/>
        </w:rPr>
      </w:pPr>
      <w:r>
        <w:rPr>
          <w:rFonts w:ascii="Helvetica;sans-serif" w:hAnsi="Helvetica;sans-serif"/>
          <w:b/>
          <w:color w:val="000000"/>
          <w:sz w:val="24"/>
        </w:rPr>
        <w:t>ITEM 4: CONTROLS AND PROCEDURES</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Conclusions regarding disclosure controls and procedures</w:t>
      </w:r>
    </w:p>
    <w:p>
      <w:pPr>
        <w:pStyle w:val="TextBody"/>
        <w:bidi w:val="0"/>
        <w:spacing w:lineRule="auto" w:line="288" w:before="80" w:after="120"/>
        <w:jc w:val="both"/>
        <w:rPr>
          <w:rFonts w:ascii="Times New Roman;serif" w:hAnsi="Times New Roman;serif"/>
          <w:b w:val="false"/>
          <w:color w:val="000000"/>
          <w:sz w:val="20"/>
        </w:rPr>
      </w:pPr>
      <w:r>
        <w:rPr>
          <w:rFonts w:ascii="Times New Roman;serif" w:hAnsi="Times New Roman;serif"/>
          <w:b w:val="false"/>
          <w:color w:val="000000"/>
          <w:sz w:val="20"/>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pStyle w:val="TextBody"/>
        <w:bidi w:val="0"/>
        <w:spacing w:lineRule="auto" w:line="288" w:before="60" w:after="120"/>
        <w:jc w:val="left"/>
        <w:rPr>
          <w:rFonts w:ascii="Helvetica;sans-serif" w:hAnsi="Helvetica;sans-serif"/>
          <w:b/>
          <w:color w:val="000000"/>
          <w:sz w:val="20"/>
        </w:rPr>
      </w:pPr>
      <w:r>
        <w:rPr>
          <w:rFonts w:ascii="Helvetica;sans-serif" w:hAnsi="Helvetica;sans-serif"/>
          <w:b/>
          <w:color w:val="000000"/>
          <w:sz w:val="20"/>
        </w:rPr>
        <w:t>Changes in internal control over financial reporting</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84785"/>
                <wp:effectExtent l="0" t="0" r="0" b="0"/>
                <wp:wrapNone/>
                <wp:docPr id="42" name="Frame4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60" w:after="12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lineRule="auto" w:line="288" w:before="60" w:after="120"/>
        <w:jc w:val="center"/>
        <w:rPr>
          <w:rFonts w:ascii="Helvetica;sans-serif" w:hAnsi="Helvetica;sans-serif"/>
          <w:b/>
          <w:color w:val="000000"/>
          <w:sz w:val="24"/>
        </w:rPr>
      </w:pPr>
      <w:r>
        <w:rPr>
          <w:rFonts w:ascii="Helvetica;sans-serif" w:hAnsi="Helvetica;sans-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Helvetica;sans-serif" w:hAnsi="Helvetica;sans-serif"/>
          <w:b/>
          <w:color w:val="000000"/>
          <w:sz w:val="24"/>
        </w:rPr>
      </w:pPr>
      <w:r>
        <w:rPr>
          <w:rFonts w:ascii="Helvetica;sans-serif" w:hAnsi="Helvetica;sans-serif"/>
          <w:b/>
          <w:color w:val="000000"/>
          <w:sz w:val="24"/>
        </w:rPr>
        <w:t>ITEM 1: LEGAL PROCEEDINGS</w:t>
      </w:r>
    </w:p>
    <w:p>
      <w:pPr>
        <w:pStyle w:val="TextBody"/>
        <w:bidi w:val="0"/>
        <w:spacing w:lineRule="auto" w:line="288" w:before="140" w:after="240"/>
        <w:jc w:val="both"/>
        <w:rPr>
          <w:rFonts w:ascii="Times New Roman;serif" w:hAnsi="Times New Roman;serif"/>
          <w:b w:val="false"/>
          <w:color w:val="000000"/>
          <w:sz w:val="20"/>
        </w:rPr>
      </w:pPr>
      <w:r>
        <w:rPr>
          <w:rFonts w:ascii="Times New Roman;serif" w:hAnsi="Times New Roman;serif"/>
          <w:b w:val="false"/>
          <w:color w:val="000000"/>
          <w:sz w:val="20"/>
        </w:rPr>
        <w:t>See Note 11 included in this Quarterly Report on Form 10-Q for a discussion of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Helvetica;sans-serif" w:hAnsi="Helvetica;sans-serif"/>
          <w:b/>
          <w:color w:val="000000"/>
          <w:sz w:val="24"/>
        </w:rPr>
      </w:pPr>
      <w:r>
        <w:rPr>
          <w:rFonts w:ascii="Helvetica;sans-serif" w:hAnsi="Helvetica;sans-serif"/>
          <w:b/>
          <w:color w:val="000000"/>
          <w:sz w:val="24"/>
        </w:rPr>
        <w:t>ITEM 1A: RISK FACTORS</w:t>
      </w:r>
    </w:p>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Except as presented below, there have been no material changes from the risk factors previously disclosed in Item 1A of our 2025 Annual Report on Form 10-K.</w:t>
      </w:r>
    </w:p>
    <w:p>
      <w:pPr>
        <w:pStyle w:val="TextBody"/>
        <w:bidi w:val="0"/>
        <w:spacing w:lineRule="auto" w:line="288" w:before="140" w:after="120"/>
        <w:jc w:val="both"/>
        <w:rPr>
          <w:rFonts w:ascii="Times New Roman;serif" w:hAnsi="Times New Roman;serif"/>
          <w:b/>
          <w:color w:val="000000"/>
          <w:sz w:val="20"/>
        </w:rPr>
      </w:pPr>
      <w:r>
        <w:rPr>
          <w:rFonts w:ascii="Times New Roman;serif" w:hAnsi="Times New Roman;serif"/>
          <w:b/>
          <w:color w:val="000000"/>
          <w:sz w:val="20"/>
        </w:rPr>
        <w:t xml:space="preserve">We are subject to risks related to our intention to separate into two independent publicly traded companies through a tax-free spin-off of NBCUniversal and Sky.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In June 2026, we announced our intention to separate into two independent publicly traded companies through a tax-free spin-off of NBCUniversal and Sky to better position each company to pursue its own strategic priorities, invest for growth and create long-term shareholder value as independent entities. The NBCUniversal Spin-off will be subject to the satisfaction of customary conditions, including obtaining final approval by our Board of Directors, receipt of tax opinions and regulatory approvals, and completion of financing arrangements. The failure to satisfy all of the required conditions, as well as additional factors such as conditions in the equity and debt markets and other external conditions, could delay completion of the NBCUniversal Spin-off relative to our expected timeline or prevent it from occurring at all. There is no guarantee that the NBCUniversal Spin-off, if completed, will be successful in meeting its objectives or achieving its intended benefits. Because completion of the NBCUniversal Spin-off will result in two companies that are smaller, each company will incur separate ongoing costs that may be shared today and may become more vulnerable to changing market conditions, which could adversely affect their respective businesses, financial condition and results of operations. In addition, we cannot predict whether the market value of our Class A common stock and the Class A common stock of NBCUniversal after the NBCUniversal Spin-off will be, in the aggregate, less than, equal to or greater than the market value of our Class A common stock prior to the NBCUniversal Spin-off. In addition, although we intend for the NBCUniversal Spin-off to be tax-free to our shareholders for U.S. federal income tax purposes, there can be no assurance that the NBCUniversal Spin-off will qualify as tax-free and, if the NBCUniversal Spin-off is ultimately determined to be taxable, we and/or holders of our common stock could be subject to substantial U.S. and/or applicable non-U.S. taxes as a result, and we could incur significant liabilities under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Helvetica;sans-serif" w:hAnsi="Helvetica;sans-serif"/>
          <w:b/>
          <w:color w:val="000000"/>
          <w:sz w:val="24"/>
        </w:rPr>
      </w:pPr>
      <w:r>
        <w:rPr>
          <w:rFonts w:ascii="Helvetica;sans-serif" w:hAnsi="Helvetica;sans-serif"/>
          <w:b/>
          <w:color w:val="000000"/>
          <w:sz w:val="24"/>
        </w:rPr>
        <w:t>ITEM 2: UNREGISTERED SALES OF EQUITY SECURITIES AND USE OF PROCEEDS</w:t>
      </w:r>
    </w:p>
    <w:p>
      <w:pPr>
        <w:pStyle w:val="TextBody"/>
        <w:bidi w:val="0"/>
        <w:spacing w:lineRule="auto" w:line="288" w:before="80" w:after="120"/>
        <w:jc w:val="both"/>
        <w:rPr>
          <w:rFonts w:ascii="Times New Roman;serif" w:hAnsi="Times New Roman;serif"/>
          <w:b w:val="false"/>
          <w:color w:val="000000"/>
          <w:sz w:val="20"/>
        </w:rPr>
      </w:pPr>
      <w:r>
        <w:rPr>
          <w:rFonts w:ascii="Times New Roman;serif" w:hAnsi="Times New Roman;serif"/>
          <w:b w:val="false"/>
          <w:color w:val="000000"/>
          <w:sz w:val="20"/>
        </w:rPr>
        <w:t>In January 2025, our Board of Directors approved a new share repurchase authorization of $15.0 billion which has no expiration date. In connection with the proposed NBCUniversal Spin-off, we suspended our share repurchase program as of the beginning of the third quarter of 2026. We did not repurchase any shares of our common stock during the three months ended September 30, 2026. As of September 30, 2026, approximately $6.7 billion remained available under our share repurchase authorization.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Helvetica;sans-serif" w:hAnsi="Helvetica;sans-serif"/>
          <w:b/>
          <w:color w:val="000000"/>
          <w:sz w:val="24"/>
        </w:rPr>
      </w:pPr>
      <w:r>
        <w:rPr>
          <w:rFonts w:ascii="Helvetica;sans-serif" w:hAnsi="Helvetica;sans-serif"/>
          <w:b/>
          <w:color w:val="000000"/>
          <w:sz w:val="24"/>
        </w:rPr>
        <w:t>ITEM 6: EXHIBITS</w:t>
      </w:r>
    </w:p>
    <w:tbl>
      <w:tblPr>
        <w:tblW w:w="10205" w:type="dxa"/>
        <w:jc w:val="left"/>
        <w:tblInd w:w="0" w:type="dxa"/>
        <w:tblLayout w:type="fixed"/>
        <w:tblCellMar>
          <w:top w:w="28" w:type="dxa"/>
          <w:left w:w="28" w:type="dxa"/>
          <w:bottom w:w="28" w:type="dxa"/>
          <w:right w:w="28" w:type="dxa"/>
        </w:tblCellMar>
      </w:tblPr>
      <w:tblGrid>
        <w:gridCol w:w="228"/>
        <w:gridCol w:w="201"/>
        <w:gridCol w:w="202"/>
        <w:gridCol w:w="109"/>
        <w:gridCol w:w="109"/>
        <w:gridCol w:w="109"/>
        <w:gridCol w:w="2760"/>
        <w:gridCol w:w="2683"/>
        <w:gridCol w:w="3804"/>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804"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Exhibit</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w:t>
            </w:r>
          </w:p>
        </w:tc>
      </w:tr>
      <w:tr>
        <w:trPr/>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7" w:type="dxa"/>
            <w:gridSpan w:val="3"/>
            <w:tcBorders/>
            <w:vAlign w:val="center"/>
          </w:tcPr>
          <w:p>
            <w:pPr>
              <w:pStyle w:val="TableContents"/>
              <w:bidi w:val="0"/>
              <w:spacing w:before="0" w:after="283"/>
              <w:jc w:val="left"/>
              <w:rPr>
                <w:sz w:val="4"/>
                <w:szCs w:val="4"/>
              </w:rPr>
            </w:pPr>
            <w:r>
              <w:rPr>
                <w:sz w:val="4"/>
                <w:szCs w:val="4"/>
              </w:rPr>
            </w:r>
          </w:p>
        </w:tc>
      </w:tr>
      <w:tr>
        <w:trPr/>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101-9302026.htm">
              <w:r>
                <w:rPr>
                  <w:rStyle w:val="InternetLink"/>
                  <w:rFonts w:ascii="Times New Roman;serif" w:hAnsi="Times New Roman;serif"/>
                  <w:b w:val="false"/>
                  <w:color w:val="0000FF"/>
                  <w:sz w:val="20"/>
                  <w:u w:val="single"/>
                </w:rPr>
                <w:t>10.1*</w:t>
              </w:r>
            </w:hyperlink>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Comcast Corporation 2002 Deferred Compensation Plan, as amended and restated effective July 13, 2026.</w:t>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2-9302026.htm">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Comcast Corporation 2005 Deferred Compensation Plan, as amended and restated effective July 13, 2026.</w:t>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9302026.htm">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Co-Chief Executive Officers and Chief Financial Officer pursuant to Section 302 of the Sarbanes-Oxley Act of 2002.</w:t>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9302026.htm">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Co-Chief Executive Officers and Chief Financial Officer pursuant to Section 906 of the Sarbanes-Oxley Act of 2002.</w:t>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financial statements from Comcast Corporation’s Quarterly Report on Form 10-Q for the nine months ended September 30, 2026, filed with the Securities and Exchange Commission on October 22, 2026, formatted in Inline Extensible Business Reporting Language (iXBRL): (i) the Condensed Consolidated Statements of Income; (ii) the Condensed Consolidated Statements of Comprehensive Income; (iii) the Condensed Consolidated Statements of Cash Flows; (iv) the Condensed Consolidated Balance Sheets; (v) the Condensed Consolidated Statements of Changes in Equity; and (vi) the Notes to Condensed Consolidated Financial Statements.</w:t>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iXBRL document).</w:t>
            </w:r>
          </w:p>
        </w:tc>
      </w:tr>
      <w:tr>
        <w:trPr/>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Constitutes a 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60" w:after="120"/>
        <w:jc w:val="both"/>
        <w:rPr/>
      </w:pPr>
      <w:hyperlink w:anchor="i10db8200c9a748869ba64adee745ca1f_7">
        <w:r>
          <w:rPr>
            <w:rStyle w:val="InternetLink"/>
            <w:rFonts w:ascii="Times New Roman;serif" w:hAnsi="Times New Roman;serif"/>
            <w:b/>
            <w:color w:val="0000FF"/>
            <w:sz w:val="20"/>
            <w:u w:val="single"/>
          </w:rPr>
          <w:t>Table of Contents</w:t>
        </w:r>
      </w:hyperlink>
    </w:p>
    <w:p>
      <w:pPr>
        <w:pStyle w:val="TextBody"/>
        <w:bidi w:val="0"/>
        <w:spacing w:lineRule="auto" w:line="288" w:before="60" w:after="120"/>
        <w:jc w:val="center"/>
        <w:rPr>
          <w:rFonts w:ascii="Helvetica;sans-serif" w:hAnsi="Helvetica;sans-serif"/>
          <w:b/>
          <w:color w:val="000000"/>
          <w:sz w:val="24"/>
        </w:rPr>
      </w:pPr>
      <w:r>
        <w:rPr>
          <w:rFonts w:ascii="Helvetica;sans-serif" w:hAnsi="Helvetica;sans-serif"/>
          <w:b/>
          <w:color w:val="000000"/>
          <w:sz w:val="24"/>
        </w:rPr>
        <w:t>SIGNATURES</w:t>
      </w:r>
    </w:p>
    <w:p>
      <w:pPr>
        <w:pStyle w:val="TextBody"/>
        <w:bidi w:val="0"/>
        <w:spacing w:lineRule="auto" w:line="288" w:before="80" w:after="1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312" w:type="dxa"/>
        <w:jc w:val="right"/>
        <w:tblInd w:w="0" w:type="dxa"/>
        <w:tblLayout w:type="fixed"/>
        <w:tblCellMar>
          <w:top w:w="28" w:type="dxa"/>
          <w:left w:w="28" w:type="dxa"/>
          <w:bottom w:w="28" w:type="dxa"/>
          <w:right w:w="28" w:type="dxa"/>
        </w:tblCellMar>
      </w:tblPr>
      <w:tblGrid>
        <w:gridCol w:w="151"/>
        <w:gridCol w:w="134"/>
        <w:gridCol w:w="135"/>
        <w:gridCol w:w="109"/>
        <w:gridCol w:w="109"/>
        <w:gridCol w:w="109"/>
        <w:gridCol w:w="1629"/>
        <w:gridCol w:w="1629"/>
        <w:gridCol w:w="2307"/>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COMCAST CORPORATION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C. MURDOCK</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Daniel C. Murdock</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Accounting Officer and Controller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lineRule="auto" w:line="288" w:before="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Date: October 22, 2026 </w:t>
      </w:r>
    </w:p>
    <w:p>
      <w:pPr>
        <w:pStyle w:val="TextBody"/>
        <w:bidi w:val="0"/>
        <w:spacing w:before="340" w:after="3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84785"/>
                <wp:effectExtent l="0" t="0" r="0" b="0"/>
                <wp:wrapNone/>
                <wp:docPr id="44" name="Frame4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6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COMCAST CORPORATION</w:t>
        <w:br/>
        <w:t>2002 DEFERRED COMPENSATION PLAN</w:t>
      </w:r>
    </w:p>
    <w:p>
      <w:pPr>
        <w:pStyle w:val="TextBody"/>
        <w:bidi w:val="0"/>
        <w:spacing w:lineRule="auto" w:line="240" w:before="0" w:after="240"/>
        <w:jc w:val="center"/>
        <w:rPr/>
      </w:pPr>
      <w:r>
        <w:rPr>
          <w:rFonts w:ascii="Times New Roman;serif" w:hAnsi="Times New Roman;serif"/>
          <w:b/>
          <w:color w:val="000000"/>
          <w:sz w:val="24"/>
        </w:rPr>
        <w:t>ARTICLE 1</w:t>
      </w:r>
      <w:r>
        <w:rPr>
          <w:color w:val="000000"/>
        </w:rPr>
        <w:t xml:space="preserve"> – </w:t>
      </w:r>
      <w:r>
        <w:rPr>
          <w:rFonts w:ascii="Times New Roman;serif" w:hAnsi="Times New Roman;serif"/>
          <w:b w:val="false"/>
          <w:color w:val="000000"/>
          <w:sz w:val="24"/>
        </w:rPr>
        <w:t>COVERAGE OF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Background, Continuation and Freeze of Plan</w:t>
      </w:r>
      <w:r>
        <w:rPr>
          <w:rFonts w:ascii="Times New Roman;serif" w:hAnsi="Times New Roman;serif"/>
          <w:b w:val="false"/>
          <w:color w:val="000000"/>
          <w:sz w:val="24"/>
        </w:rPr>
        <w:t>.</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Comcast Corporation, a Pennsylvania corporation, hereby amends and restates the Comcast Corporation 2002 Deferred Compensation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effective July 13, 2026 (the “</w:t>
      </w:r>
      <w:r>
        <w:rPr>
          <w:rFonts w:ascii="Times New Roman;serif" w:hAnsi="Times New Roman;serif"/>
          <w:b w:val="false"/>
          <w:color w:val="000000"/>
          <w:sz w:val="24"/>
          <w:u w:val="single"/>
        </w:rPr>
        <w:t>Restatement Effective Date</w:t>
      </w:r>
      <w:r>
        <w:rPr>
          <w:color w:val="000000"/>
        </w:rPr>
        <w:t>”</w:t>
      </w:r>
      <w:r>
        <w:rPr>
          <w:rFonts w:ascii="Times New Roman;serif" w:hAnsi="Times New Roman;serif"/>
          <w:b w:val="false"/>
          <w:color w:val="000000"/>
          <w:sz w:val="24"/>
        </w:rPr>
        <w:t>). The Plan was initially adopted effective February 12, 1974 and was amended and restated from time to time thereafter. The amendments to the Plan made pursuant to this amendment and restatement of the Plan are not intended to result in a material modification of the Plan within the meaning of Treasury Regulation §1.409A-6(a)(4).</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In order to preserve the favorable tax treatment available to deferrals that were made under the Plan before January 1, 2005 in light of the American Jobs Creation Act of 2004 and the regulations issued by the Department of the Treasury thereunder (the “</w:t>
      </w:r>
      <w:r>
        <w:rPr>
          <w:rFonts w:ascii="Times New Roman;serif" w:hAnsi="Times New Roman;serif"/>
          <w:b w:val="false"/>
          <w:color w:val="000000"/>
          <w:sz w:val="24"/>
          <w:u w:val="single"/>
        </w:rPr>
        <w:t>AJCA</w:t>
      </w:r>
      <w:r>
        <w:rPr>
          <w:color w:val="000000"/>
        </w:rPr>
        <w:t>”</w:t>
      </w:r>
      <w:r>
        <w:rPr>
          <w:rFonts w:ascii="Times New Roman;serif" w:hAnsi="Times New Roman;serif"/>
          <w:b w:val="false"/>
          <w:color w:val="000000"/>
          <w:sz w:val="24"/>
        </w:rPr>
        <w:t xml:space="preserve">), no Compensation may be deferred under the Plan pursuant to an Initial Election after December 31, 2004, other than amounts that (i) were subject to an Initial Election before January 1, 2005, (ii) would, but for such Initial Election, have been paid in 2005 and (iii) are treated as earned and vested as of December 31, 2004 under </w:t>
      </w:r>
      <w:r>
        <w:rPr>
          <w:rFonts w:ascii="Times New Roman;serif" w:hAnsi="Times New Roman;serif"/>
          <w:b w:val="false"/>
          <w:i/>
          <w:color w:val="000000"/>
          <w:sz w:val="24"/>
        </w:rPr>
        <w:t>IRS Notice 2005-1</w:t>
      </w:r>
      <w:r>
        <w:rPr>
          <w:rFonts w:ascii="Times New Roman;serif" w:hAnsi="Times New Roman;serif"/>
          <w:b w:val="false"/>
          <w:color w:val="000000"/>
          <w:sz w:val="24"/>
        </w:rPr>
        <w:t>.</w:t>
      </w:r>
    </w:p>
    <w:p>
      <w:pPr>
        <w:pStyle w:val="TextBody"/>
        <w:bidi w:val="0"/>
        <w:spacing w:lineRule="auto" w:line="240" w:before="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The Company has maintained the Comcast Corporation Supplemental Retirement-Investment Plan (the “</w:t>
      </w:r>
      <w:r>
        <w:rPr>
          <w:rFonts w:ascii="Times New Roman;serif" w:hAnsi="Times New Roman;serif"/>
          <w:b w:val="false"/>
          <w:color w:val="000000"/>
          <w:sz w:val="24"/>
          <w:u w:val="single"/>
        </w:rPr>
        <w:t>Supplemental RIP</w:t>
      </w:r>
      <w:r>
        <w:rPr>
          <w:color w:val="000000"/>
        </w:rPr>
        <w:t>”</w:t>
      </w:r>
      <w:r>
        <w:rPr>
          <w:rFonts w:ascii="Times New Roman;serif" w:hAnsi="Times New Roman;serif"/>
          <w:b w:val="false"/>
          <w:color w:val="000000"/>
          <w:sz w:val="24"/>
        </w:rPr>
        <w:t>), a non-qualified deferred compensation plan pursuant to which eligible employees have been credited with certain account balances that are credited with earnings at the same rate as the earnings rate for active participants in the Plan. Credits to the Supplemental RIP are frozen. Distributions of participants’ account balances credited under the Supplemental RIP are distributable as soon as administratively practicable following a participant’s termination of employment. Effective as of December 5, 2006, the Supplemental RIP was merged with and into the Plan and the separate existence of the Supplemental RIP ceased, and all undistributed participants’ accounts that had previously been administered pursuant to the Supplemental RIP (hereinafter referred to as “Supplemental RIP Legacy Accounts”) are held under the Plan. Supplemental RIP Legacy Accounts shall be subject only to the provisions of this Section 1.1(c) and the other provisions of this Article 1, Section 2.29, Section 4.4, Section 5.2, Section 5.3, Section 5.4, Article 6, Section 7.2, Article 9, Article 10, Article 11, Article 12 and such portions of Article 2 of the Plan as shall be integral to the interpretation and operation of the Plan provisions listed above. An individual whose Supplemental RIP Legacy Account is held under the Plan as a result of the merger of the Supplemental RIP with and into the Plan shall be a participant in the Plan only for purposes of the Supplemental RIP Legacy Account, unless such individual is otherwise eligible to participate in the Plan and an Account under the Plan has been established for such individual’s benefit. Except for earnings credits, no amounts shall be credited to Supplemental RIP Legacy Accounts administered under the Plan. Except for earnings credited to Supplemental RIP Legacy Accounts after 2004, Supplemental RIP Legacy Accounts consist solely of deferred compensation credits that were earned and vested before January 1, 2005. Accordingly, Supplemental RIP Legacy Accounts are intended to be treated as grandfathered benefits that are not subject to the AJCA.</w:t>
      </w:r>
    </w:p>
    <w:p>
      <w:pPr>
        <w:pStyle w:val="TextBody"/>
        <w:bidi w:val="0"/>
        <w:spacing w:lineRule="auto" w:line="240" w:before="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The Company’s controlled subsidiary, E! Entertainment Television, Inc., (“</w:t>
      </w:r>
      <w:r>
        <w:rPr>
          <w:rFonts w:ascii="Times New Roman;serif" w:hAnsi="Times New Roman;serif"/>
          <w:b w:val="false"/>
          <w:color w:val="000000"/>
          <w:sz w:val="24"/>
          <w:u w:val="single"/>
        </w:rPr>
        <w:t>E!</w:t>
      </w:r>
      <w:r>
        <w:rPr>
          <w:color w:val="000000"/>
        </w:rPr>
        <w:t>”</w:t>
      </w:r>
      <w:r>
        <w:rPr>
          <w:rFonts w:ascii="Times New Roman;serif" w:hAnsi="Times New Roman;serif"/>
          <w:b w:val="false"/>
          <w:color w:val="000000"/>
          <w:sz w:val="24"/>
        </w:rPr>
        <w:t>) has maintained the E! Entertainment Television, Inc. 2002 Deferred Compensation Plan (the “</w:t>
      </w:r>
      <w:r>
        <w:rPr>
          <w:rFonts w:ascii="Times New Roman;serif" w:hAnsi="Times New Roman;serif"/>
          <w:b w:val="false"/>
          <w:color w:val="000000"/>
          <w:sz w:val="24"/>
          <w:u w:val="single"/>
        </w:rPr>
        <w:t>E! Plan</w:t>
      </w:r>
      <w:r>
        <w:rPr>
          <w:color w:val="000000"/>
        </w:rPr>
        <w:t>”</w:t>
      </w:r>
      <w:r>
        <w:rPr>
          <w:rFonts w:ascii="Times New Roman;serif" w:hAnsi="Times New Roman;serif"/>
          <w:b w:val="false"/>
          <w:color w:val="000000"/>
          <w:sz w:val="24"/>
        </w:rPr>
        <w:t xml:space="preserve">), a non-qualified deferred compensation plan pursuant to which eligible employees have been credited with certain account balances that are credited with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52755"/>
                <wp:effectExtent l="0" t="0" r="0" b="0"/>
                <wp:wrapNone/>
                <wp:docPr id="45" name="Frame44"/>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4"/>
        </w:rPr>
        <w:t xml:space="preserve">earnings at the same rate as the earnings rate for active participants in the Plan. Under the E! Plan, to the extent participants’ account balances are treated as earned and vested as of December 31, 2004 under </w:t>
      </w:r>
      <w:r>
        <w:rPr>
          <w:rFonts w:ascii="Times New Roman;serif" w:hAnsi="Times New Roman;serif"/>
          <w:b w:val="false"/>
          <w:i/>
          <w:color w:val="000000"/>
          <w:sz w:val="24"/>
        </w:rPr>
        <w:t>IRS Notice 2005-1</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E! Grandfathered Accounts</w:t>
      </w:r>
      <w:r>
        <w:rPr>
          <w:color w:val="000000"/>
        </w:rPr>
        <w:t>”</w:t>
      </w:r>
      <w:r>
        <w:rPr>
          <w:rFonts w:ascii="Times New Roman;serif" w:hAnsi="Times New Roman;serif"/>
          <w:b w:val="false"/>
          <w:color w:val="000000"/>
          <w:sz w:val="24"/>
        </w:rPr>
        <w:t>), the rules of the E! Plan, as amended and restated, effective May 26, 2004 apply. Effective as of January 1, 2008, that portion of the E! Plan that includes the E! Grandfathered Accounts (the “</w:t>
      </w:r>
      <w:r>
        <w:rPr>
          <w:rFonts w:ascii="Times New Roman;serif" w:hAnsi="Times New Roman;serif"/>
          <w:b w:val="false"/>
          <w:color w:val="000000"/>
          <w:sz w:val="24"/>
          <w:u w:val="single"/>
        </w:rPr>
        <w:t>E! Grandfathered Plan</w:t>
      </w:r>
      <w:r>
        <w:rPr>
          <w:color w:val="000000"/>
        </w:rPr>
        <w:t>”</w:t>
      </w:r>
      <w:r>
        <w:rPr>
          <w:rFonts w:ascii="Times New Roman;serif" w:hAnsi="Times New Roman;serif"/>
          <w:b w:val="false"/>
          <w:color w:val="000000"/>
          <w:sz w:val="24"/>
        </w:rPr>
        <w:t>) was merged with and into the Plan and the separate existence of the E! Grandfathered Plan ceased, and all E! Grandfathered Accounts that had previously been administered pursuant to the E! Grandfathered Plan are held under the Plan. E! Grandfathered Accounts continue to be subject to the rules of the E! Grandfathered Plan (to the limited extent such rules may be inconsistent with the rules of the Plan) and the merger of the E! Grandfathered Plan with and into the Plan is not intended, in form or operation, to constitute a “material modification” of E! Grandfathered Accounts, nor to provide any additional benefit, right or feature with respect to E! Grandfathered Accounts. An individual whose E! Grandfathered Account is held under the Plan as a result of the merger of the E! Grandfathered Plan with and into the Plan shall be a participant in the Plan only for purposes of the E! Grandfathered Account. Except for earnings credits, no amounts shall be credited to E! Grandfathered Accounts administered under the Plan. Except for earnings credited with respect to E! Grandfathered Accounts after 2004, E! Grandfathered Accounts consist solely of deferred compensation credits that were earned and vested before January 1, 2005. Accordingly, E! Grandfathered Accounts are intended to be treated as grandfathered benefits that are not subject to the AJCA.</w:t>
      </w:r>
    </w:p>
    <w:p>
      <w:pPr>
        <w:pStyle w:val="TextBody"/>
        <w:bidi w:val="0"/>
        <w:spacing w:lineRule="auto" w:line="240" w:before="0" w:after="240"/>
        <w:ind w:left="0" w:right="0" w:firstLine="2160"/>
        <w:jc w:val="left"/>
        <w:rPr/>
      </w:pPr>
      <w:r>
        <w:rPr>
          <w:rFonts w:ascii="Times New Roman;serif" w:hAnsi="Times New Roman;serif"/>
          <w:b w:val="false"/>
          <w:color w:val="000000"/>
          <w:sz w:val="24"/>
        </w:rPr>
        <w:t>(e)</w:t>
      </w:r>
      <w:r>
        <w:rPr>
          <w:rFonts w:ascii="Times New Roman;serif" w:hAnsi="Times New Roman;serif"/>
          <w:b w:val="false"/>
          <w:color w:val="000000"/>
          <w:sz w:val="24"/>
        </w:rPr>
        <w:t>Amounts earned and vested prior to January 1, 2005 are and will remain subject to the terms and conditions of the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1.2.</w:t>
      </w:r>
      <w:r>
        <w:rPr>
          <w:rFonts w:ascii="Times New Roman;serif" w:hAnsi="Times New Roman;serif"/>
          <w:b w:val="false"/>
          <w:color w:val="000000"/>
          <w:sz w:val="24"/>
          <w:u w:val="single"/>
        </w:rPr>
        <w:t>Plan Unfunded and Limited to Outside Directors and Select Group of Management or Highly Compensated Employees</w:t>
      </w:r>
      <w:r>
        <w:rPr>
          <w:rFonts w:ascii="Times New Roman;serif" w:hAnsi="Times New Roman;serif"/>
          <w:b w:val="false"/>
          <w:color w:val="000000"/>
          <w:sz w:val="24"/>
        </w:rPr>
        <w:t>. The Plan is unfunded and is maintained primarily for the purpose of providing outside directors and a select group of management or highly compensated employees the opportunity to defer the receipt of compensation otherwise payable to such outside directors and eligible employees in accordance with the terms of the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1.3.</w:t>
      </w:r>
      <w:r>
        <w:rPr>
          <w:rFonts w:ascii="Times New Roman;serif" w:hAnsi="Times New Roman;serif"/>
          <w:b w:val="false"/>
          <w:color w:val="000000"/>
          <w:sz w:val="24"/>
          <w:u w:val="single"/>
        </w:rPr>
        <w:t>References to Written Forms, Elections and Notices</w:t>
      </w:r>
      <w:r>
        <w:rPr>
          <w:rFonts w:ascii="Times New Roman;serif" w:hAnsi="Times New Roman;serif"/>
          <w:b w:val="false"/>
          <w:color w:val="000000"/>
          <w:sz w:val="24"/>
        </w:rPr>
        <w:t>. Any action under the Plan that requires a written form, election, notice or other action shall be treated as completed if taken via electronic or other means, to the extent authorized by the Administrator.</w:t>
      </w:r>
    </w:p>
    <w:p>
      <w:pPr>
        <w:pStyle w:val="TextBody"/>
        <w:bidi w:val="0"/>
        <w:spacing w:lineRule="auto" w:line="240" w:before="0" w:after="240"/>
        <w:jc w:val="center"/>
        <w:rPr/>
      </w:pPr>
      <w:r>
        <w:rPr>
          <w:rFonts w:ascii="Times New Roman;serif" w:hAnsi="Times New Roman;serif"/>
          <w:b/>
          <w:color w:val="000000"/>
          <w:sz w:val="24"/>
        </w:rPr>
        <w:t>ARTICLE 2</w:t>
      </w:r>
      <w:r>
        <w:rPr>
          <w:color w:val="000000"/>
        </w:rPr>
        <w:t xml:space="preserve"> – </w:t>
      </w:r>
      <w:r>
        <w:rPr>
          <w:rFonts w:ascii="Times New Roman;serif" w:hAnsi="Times New Roman;serif"/>
          <w:b w:val="false"/>
          <w:color w:val="000000"/>
          <w:sz w:val="24"/>
        </w:rPr>
        <w:t>DEFINITIONS</w:t>
      </w:r>
    </w:p>
    <w:p>
      <w:pPr>
        <w:pStyle w:val="TextBody"/>
        <w:bidi w:val="0"/>
        <w:spacing w:lineRule="auto" w:line="240" w:before="0" w:after="240"/>
        <w:ind w:left="0" w:right="0" w:firstLine="1440"/>
        <w:jc w:val="left"/>
        <w:rPr/>
      </w:pPr>
      <w:r>
        <w:rPr>
          <w:rFonts w:ascii="Times New Roman;serif" w:hAnsi="Times New Roman;serif"/>
          <w:b w:val="false"/>
          <w:color w:val="000000"/>
          <w:sz w:val="24"/>
        </w:rPr>
        <w:t>2.1.</w:t>
      </w:r>
      <w:r>
        <w:rPr>
          <w:color w:val="000000"/>
        </w:rPr>
        <w:t>“</w:t>
      </w:r>
      <w:r>
        <w:rPr>
          <w:rFonts w:ascii="Times New Roman;serif" w:hAnsi="Times New Roman;serif"/>
          <w:b w:val="false"/>
          <w:color w:val="000000"/>
          <w:sz w:val="24"/>
          <w:u w:val="single"/>
        </w:rPr>
        <w:t>Account</w:t>
      </w:r>
      <w:r>
        <w:rPr>
          <w:color w:val="000000"/>
        </w:rPr>
        <w:t xml:space="preserve">” </w:t>
      </w:r>
      <w:r>
        <w:rPr>
          <w:rFonts w:ascii="Times New Roman;serif" w:hAnsi="Times New Roman;serif"/>
          <w:b w:val="false"/>
          <w:color w:val="000000"/>
          <w:sz w:val="24"/>
        </w:rPr>
        <w:t>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pStyle w:val="TextBody"/>
        <w:bidi w:val="0"/>
        <w:spacing w:lineRule="auto" w:line="240" w:before="0" w:after="240"/>
        <w:ind w:left="0" w:right="0" w:firstLine="1440"/>
        <w:jc w:val="left"/>
        <w:rPr/>
      </w:pPr>
      <w:r>
        <w:rPr>
          <w:rFonts w:ascii="Times New Roman;serif" w:hAnsi="Times New Roman;serif"/>
          <w:b w:val="false"/>
          <w:color w:val="000000"/>
          <w:sz w:val="24"/>
        </w:rPr>
        <w:t>2.2.</w:t>
      </w:r>
      <w:r>
        <w:rPr>
          <w:color w:val="000000"/>
        </w:rPr>
        <w:t>“</w:t>
      </w:r>
      <w:r>
        <w:rPr>
          <w:rFonts w:ascii="Times New Roman;serif" w:hAnsi="Times New Roman;serif"/>
          <w:b w:val="false"/>
          <w:color w:val="000000"/>
          <w:sz w:val="24"/>
          <w:u w:val="single"/>
        </w:rPr>
        <w:t>Active Participant</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Each Participant who is in active service as an Outside Director; and</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Each Participant who is actively employed by a Participating Company as an Eligible Employee.</w:t>
      </w:r>
    </w:p>
    <w:p>
      <w:pPr>
        <w:pStyle w:val="TextBody"/>
        <w:bidi w:val="0"/>
        <w:spacing w:lineRule="auto" w:line="240" w:before="0" w:after="240"/>
        <w:ind w:left="0" w:right="0" w:firstLine="1440"/>
        <w:jc w:val="left"/>
        <w:rPr/>
      </w:pPr>
      <w:r>
        <w:rPr>
          <w:rFonts w:ascii="Times New Roman;serif" w:hAnsi="Times New Roman;serif"/>
          <w:b w:val="false"/>
          <w:color w:val="000000"/>
          <w:sz w:val="24"/>
        </w:rPr>
        <w:t>2.3.</w:t>
      </w:r>
      <w:r>
        <w:rPr>
          <w:color w:val="000000"/>
        </w:rPr>
        <w:t>“</w:t>
      </w:r>
      <w:r>
        <w:rPr>
          <w:rFonts w:ascii="Times New Roman;serif" w:hAnsi="Times New Roman;serif"/>
          <w:b w:val="false"/>
          <w:color w:val="000000"/>
          <w:sz w:val="24"/>
          <w:u w:val="single"/>
        </w:rPr>
        <w:t>Administrator</w:t>
      </w:r>
      <w:r>
        <w:rPr>
          <w:color w:val="000000"/>
        </w:rPr>
        <w:t xml:space="preserve">” </w:t>
      </w:r>
      <w:r>
        <w:rPr>
          <w:rFonts w:ascii="Times New Roman;serif" w:hAnsi="Times New Roman;serif"/>
          <w:b w:val="false"/>
          <w:color w:val="000000"/>
          <w:sz w:val="24"/>
        </w:rPr>
        <w:t>means the Committee.</w:t>
      </w:r>
    </w:p>
    <w:p>
      <w:pPr>
        <w:pStyle w:val="TextBody"/>
        <w:bidi w:val="0"/>
        <w:spacing w:lineRule="auto" w:line="240" w:before="0" w:after="240"/>
        <w:ind w:left="0" w:right="0" w:firstLine="1440"/>
        <w:jc w:val="left"/>
        <w:rPr/>
      </w:pPr>
      <w:r>
        <w:rPr>
          <w:rFonts w:ascii="Times New Roman;serif" w:hAnsi="Times New Roman;serif"/>
          <w:b w:val="false"/>
          <w:color w:val="000000"/>
          <w:sz w:val="24"/>
        </w:rPr>
        <w:t>2.4.</w:t>
      </w: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 xml:space="preserve">means, with respect to any Person, any other Person that, directly or indirectly, is in control of, is controlled by, or is under common control with, such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87680"/>
                <wp:effectExtent l="0" t="0" r="0" b="0"/>
                <wp:wrapNone/>
                <wp:docPr id="46" name="Frame45"/>
                <a:graphic xmlns:a="http://schemas.openxmlformats.org/drawingml/2006/main">
                  <a:graphicData uri="http://schemas.microsoft.com/office/word/2010/wordprocessingShape">
                    <wps:wsp>
                      <wps:cNvSpPr txBox="1"/>
                      <wps:spPr>
                        <a:xfrm>
                          <a:off x="0" y="0"/>
                          <a:ext cx="6480175" cy="487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pStyle w:val="TextBody"/>
        <w:bidi w:val="0"/>
        <w:spacing w:lineRule="auto" w:line="240" w:before="0" w:after="240"/>
        <w:ind w:left="0" w:right="0" w:firstLine="1440"/>
        <w:jc w:val="left"/>
        <w:rPr/>
      </w:pPr>
      <w:r>
        <w:rPr>
          <w:rFonts w:ascii="Times New Roman;serif" w:hAnsi="Times New Roman;serif"/>
          <w:b w:val="false"/>
          <w:color w:val="000000"/>
          <w:sz w:val="24"/>
        </w:rPr>
        <w:t>2.5.</w:t>
      </w:r>
      <w:r>
        <w:rPr>
          <w:color w:val="000000"/>
        </w:rPr>
        <w:t>“</w:t>
      </w:r>
      <w:r>
        <w:rPr>
          <w:rFonts w:ascii="Times New Roman;serif" w:hAnsi="Times New Roman;serif"/>
          <w:b w:val="false"/>
          <w:color w:val="000000"/>
          <w:sz w:val="24"/>
          <w:u w:val="single"/>
        </w:rPr>
        <w:t>Annual Rate of Pay</w:t>
      </w:r>
      <w:r>
        <w:rPr>
          <w:color w:val="000000"/>
        </w:rPr>
        <w:t xml:space="preserve">” </w:t>
      </w:r>
      <w:r>
        <w:rPr>
          <w:rFonts w:ascii="Times New Roman;serif" w:hAnsi="Times New Roman;serif"/>
          <w:b w:val="false"/>
          <w:color w:val="000000"/>
          <w:sz w:val="24"/>
        </w:rPr>
        <w:t>means, as of any date, an employee’s annualized base pay rate. An employee’s Annual Rate of Pay shall not include sales commissions or other similar payments or awards.</w:t>
      </w:r>
    </w:p>
    <w:p>
      <w:pPr>
        <w:pStyle w:val="TextBody"/>
        <w:bidi w:val="0"/>
        <w:spacing w:lineRule="auto" w:line="240" w:before="0" w:after="240"/>
        <w:ind w:left="0" w:right="0" w:firstLine="1440"/>
        <w:jc w:val="left"/>
        <w:rPr/>
      </w:pPr>
      <w:r>
        <w:rPr>
          <w:rFonts w:ascii="Times New Roman;serif" w:hAnsi="Times New Roman;serif"/>
          <w:b w:val="false"/>
          <w:color w:val="000000"/>
          <w:sz w:val="24"/>
        </w:rPr>
        <w:t>2.6.</w:t>
      </w:r>
      <w:r>
        <w:rPr>
          <w:color w:val="000000"/>
        </w:rPr>
        <w:t>“</w:t>
      </w:r>
      <w:r>
        <w:rPr>
          <w:rFonts w:ascii="Times New Roman;serif" w:hAnsi="Times New Roman;serif"/>
          <w:b w:val="false"/>
          <w:color w:val="000000"/>
          <w:sz w:val="24"/>
          <w:u w:val="single"/>
        </w:rPr>
        <w:t>Applicable Interest Rate</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otherwise provided in Sections 2.6(b) or (c), the Applicable Interest Rate means: </w:t>
      </w:r>
    </w:p>
    <w:p>
      <w:pPr>
        <w:pStyle w:val="TextBody"/>
        <w:bidi w:val="0"/>
        <w:spacing w:lineRule="auto" w:line="240" w:before="0" w:after="240"/>
        <w:ind w:left="0" w:right="0" w:firstLine="2880"/>
        <w:jc w:val="left"/>
        <w:rPr/>
      </w:pPr>
      <w:r>
        <w:rPr>
          <w:rFonts w:ascii="Times New Roman;serif" w:hAnsi="Times New Roman;serif"/>
          <w:b w:val="false"/>
          <w:color w:val="000000"/>
          <w:sz w:val="24"/>
        </w:rPr>
        <w:t>(i)</w:t>
      </w:r>
      <w:r>
        <w:rPr>
          <w:rFonts w:ascii="Times New Roman;serif" w:hAnsi="Times New Roman;serif"/>
          <w:b w:val="false"/>
          <w:color w:val="000000"/>
          <w:sz w:val="24"/>
        </w:rPr>
        <w:t>with respect to amounts subject to a Subsequent Election filed before January 1, 2021, the interest rate that, when compounded daily pursuant to rules established by the Administrator from time to time, is mathematically equivalent to 12% per annum, compounded annually; and</w:t>
      </w:r>
    </w:p>
    <w:p>
      <w:pPr>
        <w:pStyle w:val="TextBody"/>
        <w:bidi w:val="0"/>
        <w:spacing w:lineRule="auto" w:line="240" w:before="0" w:after="240"/>
        <w:ind w:left="0" w:right="0" w:firstLine="2880"/>
        <w:jc w:val="left"/>
        <w:rPr/>
      </w:pPr>
      <w:r>
        <w:rPr>
          <w:rFonts w:ascii="Times New Roman;serif" w:hAnsi="Times New Roman;serif"/>
          <w:b w:val="false"/>
          <w:color w:val="000000"/>
          <w:sz w:val="24"/>
        </w:rPr>
        <w:t>(ii)</w:t>
      </w:r>
      <w:r>
        <w:rPr>
          <w:rFonts w:ascii="Times New Roman;serif" w:hAnsi="Times New Roman;serif"/>
          <w:b w:val="false"/>
          <w:color w:val="000000"/>
          <w:sz w:val="24"/>
        </w:rPr>
        <w:t>with respect to amounts subject to a Subsequent Election filed after December 31, 2020, the interest rate that, when compounded daily pursuant to rules established by the Administrator from time to time, is mathematically equivalent to 9% per annum, compounded annually.</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Termination or Transition of Service</w:t>
      </w:r>
      <w:r>
        <w:rPr>
          <w:rFonts w:ascii="Times New Roman;serif" w:hAnsi="Times New Roman;serif"/>
          <w:b w:val="false"/>
          <w:color w:val="000000"/>
          <w:sz w:val="24"/>
          <w:shd w:fill="FFFFFF" w:val="clear"/>
        </w:rPr>
        <w:t>. Effective for the period beginning as soon as administratively practicable following (i) a significant reduction in a Participant’s compensation and services to the Company, as determined by the Administrator in its sole discretion, and (ii) a Participant’s employment termination date, in each case, to the date the Participant’s Account is distributed in full, the Administrator, in its sole discretion, may designate the term “Applicable Interest Rate” for such Participant’s Account to mean the lesser of (x) the rate in effect under Section 2.6(a) or (y) the Prime Rate plus one percent. A Participant’s re-employment by a Participating Company following an employment termination date shall not affect the Applicable Interest Rate that applies to the part of the Participant’s Account (including interest credited with respect to such part of the Participant’s Account) that was credited before such employment termination date. Notwithstanding the foregoing, the Administrator may delegate its authority to determine the Applicable Interest Rate under this Section 2.6(b) to an officer of the Company or committee of two or more officers of the Company.</w:t>
      </w:r>
      <w:r>
        <w:rPr>
          <w:color w:val="000000"/>
        </w:rPr>
        <w:t xml:space="preserve"> </w:t>
      </w:r>
    </w:p>
    <w:p>
      <w:pPr>
        <w:pStyle w:val="TextBody"/>
        <w:bidi w:val="0"/>
        <w:spacing w:lineRule="auto" w:line="240" w:before="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Except to the extent otherwise required by Section 10.2, the Applicable Interest Rate for Severance Pay deferred pursuant to Article 3 shall be determined by the Administrator, in its sole discretion;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Applicable Interest Rate shall not be less than the lower of the Prime Rate or LIBOR, nor more than the rate specified in Section 2.6(a). Notwithstanding the foregoing, the Administrator may delegate its authority to determine the Applicable Interest Rate under this Section 2.6(c) to an officer of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4"/>
        </w:rPr>
        <w:t>2.7.</w:t>
      </w:r>
      <w:r>
        <w:rPr>
          <w:color w:val="000000"/>
        </w:rPr>
        <w:t>“</w:t>
      </w:r>
      <w:r>
        <w:rPr>
          <w:rFonts w:ascii="Times New Roman;serif" w:hAnsi="Times New Roman;serif"/>
          <w:b w:val="false"/>
          <w:color w:val="000000"/>
          <w:sz w:val="24"/>
          <w:u w:val="single"/>
        </w:rPr>
        <w:t>Beneficiary</w:t>
      </w:r>
      <w:r>
        <w:rPr>
          <w:color w:val="000000"/>
        </w:rPr>
        <w:t xml:space="preserve">” </w:t>
      </w:r>
      <w:r>
        <w:rPr>
          <w:rFonts w:ascii="Times New Roman;serif" w:hAnsi="Times New Roman;serif"/>
          <w:b w:val="false"/>
          <w:color w:val="000000"/>
          <w:sz w:val="24"/>
        </w:rPr>
        <w:t xml:space="preserve">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87680"/>
                <wp:effectExtent l="0" t="0" r="0" b="0"/>
                <wp:wrapNone/>
                <wp:docPr id="47" name="Frame46"/>
                <a:graphic xmlns:a="http://schemas.openxmlformats.org/drawingml/2006/main">
                  <a:graphicData uri="http://schemas.microsoft.com/office/word/2010/wordprocessingShape">
                    <wps:wsp>
                      <wps:cNvSpPr txBox="1"/>
                      <wps:spPr>
                        <a:xfrm>
                          <a:off x="0" y="0"/>
                          <a:ext cx="6480175" cy="487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and the Beneficiary of a Beneficiary shall be the Beneficiary’s Surviving Spouse if the Beneficiary has a Surviving Spouse and otherwise the Beneficiary’s estate.</w:t>
      </w:r>
    </w:p>
    <w:p>
      <w:pPr>
        <w:pStyle w:val="TextBody"/>
        <w:bidi w:val="0"/>
        <w:spacing w:lineRule="auto" w:line="240" w:before="0" w:after="240"/>
        <w:ind w:left="0" w:right="0" w:firstLine="1440"/>
        <w:jc w:val="left"/>
        <w:rPr/>
      </w:pPr>
      <w:r>
        <w:rPr>
          <w:rFonts w:ascii="Times New Roman;serif" w:hAnsi="Times New Roman;serif"/>
          <w:b w:val="false"/>
          <w:color w:val="000000"/>
          <w:sz w:val="24"/>
        </w:rPr>
        <w:t>2.8.</w:t>
      </w:r>
      <w:r>
        <w:rPr>
          <w:color w:val="000000"/>
        </w:rPr>
        <w:t>“</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4"/>
        </w:rPr>
        <w:t>2.9.</w:t>
      </w:r>
      <w:r>
        <w:rPr>
          <w:color w:val="000000"/>
        </w:rPr>
        <w:t>“</w:t>
      </w:r>
      <w:r>
        <w:rPr>
          <w:rFonts w:ascii="Times New Roman;serif" w:hAnsi="Times New Roman;serif"/>
          <w:b w:val="false"/>
          <w:color w:val="000000"/>
          <w:sz w:val="24"/>
          <w:u w:val="single"/>
        </w:rPr>
        <w:t>CCCHI</w:t>
      </w:r>
      <w:r>
        <w:rPr>
          <w:color w:val="000000"/>
        </w:rPr>
        <w:t xml:space="preserve">” </w:t>
      </w:r>
      <w:r>
        <w:rPr>
          <w:rFonts w:ascii="Times New Roman;serif" w:hAnsi="Times New Roman;serif"/>
          <w:b w:val="false"/>
          <w:color w:val="000000"/>
          <w:sz w:val="24"/>
        </w:rPr>
        <w:t>means Comcast Cable Communications Holdings, Inc., formerly known as AT&amp;T Broadband Corp.</w:t>
      </w:r>
    </w:p>
    <w:p>
      <w:pPr>
        <w:pStyle w:val="TextBody"/>
        <w:bidi w:val="0"/>
        <w:spacing w:lineRule="auto" w:line="240" w:before="0" w:after="240"/>
        <w:ind w:left="0" w:right="0" w:firstLine="1440"/>
        <w:jc w:val="left"/>
        <w:rPr/>
      </w:pPr>
      <w:r>
        <w:rPr>
          <w:rFonts w:ascii="Times New Roman;serif" w:hAnsi="Times New Roman;serif"/>
          <w:b w:val="false"/>
          <w:color w:val="000000"/>
          <w:sz w:val="24"/>
        </w:rPr>
        <w:t>2.10.</w:t>
      </w:r>
      <w:r>
        <w:rPr>
          <w:color w:val="000000"/>
        </w:rPr>
        <w:t>“</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pStyle w:val="TextBody"/>
        <w:bidi w:val="0"/>
        <w:spacing w:lineRule="auto" w:line="240" w:before="0" w:after="240"/>
        <w:ind w:left="0" w:right="0" w:firstLine="1440"/>
        <w:jc w:val="left"/>
        <w:rPr/>
      </w:pPr>
      <w:r>
        <w:rPr>
          <w:rFonts w:ascii="Times New Roman;serif" w:hAnsi="Times New Roman;serif"/>
          <w:b w:val="false"/>
          <w:color w:val="000000"/>
          <w:sz w:val="24"/>
        </w:rPr>
        <w:t>2.11.</w:t>
      </w: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lineRule="auto" w:line="240" w:before="0" w:after="240"/>
        <w:ind w:left="0" w:right="0" w:firstLine="1440"/>
        <w:jc w:val="left"/>
        <w:rPr/>
      </w:pPr>
      <w:r>
        <w:rPr>
          <w:rFonts w:ascii="Times New Roman;serif" w:hAnsi="Times New Roman;serif"/>
          <w:b w:val="false"/>
          <w:color w:val="000000"/>
          <w:sz w:val="24"/>
        </w:rPr>
        <w:t>2.12.</w:t>
      </w:r>
      <w:r>
        <w:rPr>
          <w:color w:val="000000"/>
        </w:rPr>
        <w:t>“</w:t>
      </w:r>
      <w:r>
        <w:rPr>
          <w:rFonts w:ascii="Times New Roman;serif" w:hAnsi="Times New Roman;serif"/>
          <w:b w:val="false"/>
          <w:color w:val="000000"/>
          <w:sz w:val="24"/>
          <w:u w:val="single"/>
        </w:rPr>
        <w:t>Committee</w:t>
      </w:r>
      <w:r>
        <w:rPr>
          <w:color w:val="000000"/>
        </w:rPr>
        <w:t xml:space="preserve">” </w:t>
      </w:r>
      <w:r>
        <w:rPr>
          <w:rFonts w:ascii="Times New Roman;serif" w:hAnsi="Times New Roman;serif"/>
          <w:b w:val="false"/>
          <w:color w:val="000000"/>
          <w:sz w:val="24"/>
        </w:rPr>
        <w:t>means the Compensation and Human Capital Committee of the Board.</w:t>
      </w:r>
    </w:p>
    <w:p>
      <w:pPr>
        <w:pStyle w:val="TextBody"/>
        <w:bidi w:val="0"/>
        <w:spacing w:lineRule="auto" w:line="240" w:before="0" w:after="240"/>
        <w:ind w:left="0" w:right="0" w:firstLine="1440"/>
        <w:jc w:val="left"/>
        <w:rPr/>
      </w:pPr>
      <w:r>
        <w:rPr>
          <w:rFonts w:ascii="Times New Roman;serif" w:hAnsi="Times New Roman;serif"/>
          <w:b w:val="false"/>
          <w:color w:val="000000"/>
          <w:sz w:val="24"/>
        </w:rPr>
        <w:t>2.13.</w:t>
      </w:r>
      <w:r>
        <w:rPr>
          <w:color w:val="000000"/>
        </w:rPr>
        <w:t>“</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 xml:space="preserve">means Comcast Corporation, a Pennsylvania corporation, including any successor thereto by merger, consolidation, acquisition of all or substantially all the assets thereof, or otherwise. </w:t>
      </w:r>
    </w:p>
    <w:p>
      <w:pPr>
        <w:pStyle w:val="TextBody"/>
        <w:bidi w:val="0"/>
        <w:spacing w:lineRule="auto" w:line="240" w:before="0" w:after="240"/>
        <w:ind w:left="0" w:right="0" w:firstLine="1440"/>
        <w:jc w:val="left"/>
        <w:rPr/>
      </w:pPr>
      <w:r>
        <w:rPr>
          <w:rFonts w:ascii="Times New Roman;serif" w:hAnsi="Times New Roman;serif"/>
          <w:b w:val="false"/>
          <w:color w:val="000000"/>
          <w:sz w:val="24"/>
        </w:rPr>
        <w:t>2.14.</w:t>
      </w:r>
      <w:r>
        <w:rPr>
          <w:color w:val="000000"/>
        </w:rPr>
        <w:t>“</w:t>
      </w:r>
      <w:r>
        <w:rPr>
          <w:rFonts w:ascii="Times New Roman;serif" w:hAnsi="Times New Roman;serif"/>
          <w:b w:val="false"/>
          <w:color w:val="000000"/>
          <w:sz w:val="24"/>
          <w:u w:val="single"/>
        </w:rPr>
        <w:t>Company Stock</w:t>
      </w:r>
      <w:r>
        <w:rPr>
          <w:color w:val="000000"/>
        </w:rPr>
        <w:t xml:space="preserve">” </w:t>
      </w:r>
      <w:r>
        <w:rPr>
          <w:rFonts w:ascii="Times New Roman;serif" w:hAnsi="Times New Roman;serif"/>
          <w:b w:val="false"/>
          <w:color w:val="000000"/>
          <w:sz w:val="24"/>
        </w:rPr>
        <w:t>means with respect to amounts credited to the Company Stock Fund pursuant to (i) deferral elections by Outside Directors made pursuant to Section 3.1(a), or (ii) deemed transfers pursuant to Article 5, Comcast Corporation Class A Common Stock, par value $0.01, and such other securities issued by the Company as may be subject to adjustment in the event that shares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The number of hypothetical shares of Company Stock credited to a Participant’s Account shall be rounded down to the next lower share, and the value of fractional shares that otherwise have been credited to the Company Stock Fund shall be credited to the Income Fund. Any reference to the term “Company Stock” in the Plan shall be a reference to the appropriate number and class of shares of stock as adjusted pursuant to this Section 2.14. The Committee’s adjustment shall be effective and binding for all purposes of the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2.15.</w:t>
      </w:r>
      <w:r>
        <w:rPr>
          <w:color w:val="000000"/>
        </w:rPr>
        <w:t>“</w:t>
      </w:r>
      <w:r>
        <w:rPr>
          <w:rFonts w:ascii="Times New Roman;serif" w:hAnsi="Times New Roman;serif"/>
          <w:b w:val="false"/>
          <w:color w:val="000000"/>
          <w:sz w:val="24"/>
          <w:u w:val="single"/>
        </w:rPr>
        <w:t>Company Stock Fund</w:t>
      </w:r>
      <w:r>
        <w:rPr>
          <w:color w:val="000000"/>
        </w:rPr>
        <w:t xml:space="preserve">” </w:t>
      </w:r>
      <w:r>
        <w:rPr>
          <w:rFonts w:ascii="Times New Roman;serif" w:hAnsi="Times New Roman;serif"/>
          <w:b w:val="false"/>
          <w:color w:val="000000"/>
          <w:sz w:val="24"/>
        </w:rPr>
        <w:t xml:space="preserve">means a hypothetical investment fund pursuant to which income, gains and losses are credited to a Participant’s Account as if the Account, to the extent deemed invested in the Company Stock Fund, were invested in hypothetical shares of Company Stock, and, except as otherwise provided in Section 2.14 with respect to fractional shares, all dividends and other distributions paid with respect to Company Stock shall be credited to an Other Investment Fund as a hypothetical purchase on the applicable dividend or distribution payment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(a) with respect to Company Stock credited to the Accounts of Outside Directors, dividends and other distributions shall be credited to the Company Stock Fund as a hypothetical purchase at Fair Market Value on the applicable dividend or distribution payment date and (b) with respect to Company Stock credited to the Accounts of Covered Participants, dividends and other distributions paid after February 28, 2021 shall be credited to one or more Other Investment Funds as a hypothetical purchase on the applicable dividend or distribution payment date. Except to the extent provided by Section 5.2(b)(i)(C)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87680"/>
                <wp:effectExtent l="0" t="0" r="0" b="0"/>
                <wp:wrapNone/>
                <wp:docPr id="48" name="Frame47"/>
                <a:graphic xmlns:a="http://schemas.openxmlformats.org/drawingml/2006/main">
                  <a:graphicData uri="http://schemas.microsoft.com/office/word/2010/wordprocessingShape">
                    <wps:wsp>
                      <wps:cNvSpPr txBox="1"/>
                      <wps:spPr>
                        <a:xfrm>
                          <a:off x="0" y="0"/>
                          <a:ext cx="6480175" cy="487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with respect to Section 16 Officers or by the Administrator with respect to Participants who are not Section 16 Officers, amounts credited to the Company Stock Fund may not thereafter be transferred to the Income Fund or another Other Investment Fund.</w:t>
      </w:r>
    </w:p>
    <w:p>
      <w:pPr>
        <w:pStyle w:val="TextBody"/>
        <w:bidi w:val="0"/>
        <w:spacing w:lineRule="auto" w:line="240" w:before="0" w:after="240"/>
        <w:ind w:left="0" w:right="0" w:firstLine="1440"/>
        <w:jc w:val="left"/>
        <w:rPr/>
      </w:pPr>
      <w:r>
        <w:rPr>
          <w:rFonts w:ascii="Times New Roman;serif" w:hAnsi="Times New Roman;serif"/>
          <w:b w:val="false"/>
          <w:color w:val="000000"/>
          <w:sz w:val="24"/>
        </w:rPr>
        <w:t>2.16.</w:t>
      </w:r>
      <w:r>
        <w:rPr>
          <w:color w:val="000000"/>
        </w:rPr>
        <w:t>“</w:t>
      </w:r>
      <w:r>
        <w:rPr>
          <w:rFonts w:ascii="Times New Roman;serif" w:hAnsi="Times New Roman;serif"/>
          <w:b w:val="false"/>
          <w:color w:val="000000"/>
          <w:sz w:val="24"/>
          <w:u w:val="single"/>
        </w:rPr>
        <w:t>Compensation</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In the case of an Outside Director, the total remuneration payable in cash or payable in Company Stock (as elected by the Outside Director pursuant to the Comcast Corporation 2003 Director Compensation Plan) for services as a member of the Board and as a member of any Committee of the Board; and</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In the case of an Eligible Employee, the total cash remuneration for services payable by a Participating Company, excluding sales commissions or other similar payments or awards.</w:t>
      </w:r>
    </w:p>
    <w:p>
      <w:pPr>
        <w:pStyle w:val="TextBody"/>
        <w:bidi w:val="0"/>
        <w:spacing w:lineRule="auto" w:line="240" w:before="0" w:after="240"/>
        <w:ind w:left="0" w:right="0" w:firstLine="1440"/>
        <w:jc w:val="left"/>
        <w:rPr/>
      </w:pPr>
      <w:r>
        <w:rPr>
          <w:rFonts w:ascii="Times New Roman;serif" w:hAnsi="Times New Roman;serif"/>
          <w:b w:val="false"/>
          <w:color w:val="000000"/>
          <w:sz w:val="24"/>
        </w:rPr>
        <w:t>2.17.</w:t>
      </w:r>
      <w:r>
        <w:rPr>
          <w:color w:val="000000"/>
        </w:rPr>
        <w:t>“</w:t>
      </w:r>
      <w:r>
        <w:rPr>
          <w:rFonts w:ascii="Times New Roman;serif" w:hAnsi="Times New Roman;serif"/>
          <w:b w:val="false"/>
          <w:color w:val="000000"/>
          <w:sz w:val="24"/>
          <w:u w:val="single"/>
        </w:rPr>
        <w:t>Covered Participant</w:t>
      </w:r>
      <w:r>
        <w:rPr>
          <w:color w:val="000000"/>
        </w:rPr>
        <w:t xml:space="preserve">” </w:t>
      </w:r>
      <w:r>
        <w:rPr>
          <w:rFonts w:ascii="Times New Roman;serif" w:hAnsi="Times New Roman;serif"/>
          <w:b w:val="false"/>
          <w:color w:val="000000"/>
          <w:sz w:val="24"/>
        </w:rPr>
        <w:t>means, as of any relevant date of determination, (i) any Section 16 Officer for whom disclosure was required pursuant to Item 402 of SEC Regulation S-K in the Company’s most recent filing with the SEC under the Securities Exchange Act of 1934, as amended, and (ii) any individual, as determined by the Committee in its discretion.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2.18.</w:t>
      </w:r>
      <w:r>
        <w:rPr>
          <w:color w:val="000000"/>
        </w:rPr>
        <w:t>“</w:t>
      </w:r>
      <w:r>
        <w:rPr>
          <w:rFonts w:ascii="Times New Roman;serif" w:hAnsi="Times New Roman;serif"/>
          <w:b w:val="false"/>
          <w:color w:val="000000"/>
          <w:sz w:val="24"/>
          <w:u w:val="single"/>
        </w:rPr>
        <w:t>Death Tax Clearance Date</w:t>
      </w:r>
      <w:r>
        <w:rPr>
          <w:color w:val="000000"/>
        </w:rPr>
        <w:t xml:space="preserve">” </w:t>
      </w:r>
      <w:r>
        <w:rPr>
          <w:rFonts w:ascii="Times New Roman;serif" w:hAnsi="Times New Roman;serif"/>
          <w:b w:val="false"/>
          <w:color w:val="000000"/>
          <w:sz w:val="24"/>
        </w:rPr>
        <w:t>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pStyle w:val="TextBody"/>
        <w:bidi w:val="0"/>
        <w:spacing w:lineRule="auto" w:line="240" w:before="0" w:after="240"/>
        <w:ind w:left="0" w:right="0" w:firstLine="1440"/>
        <w:jc w:val="left"/>
        <w:rPr/>
      </w:pPr>
      <w:r>
        <w:rPr>
          <w:rFonts w:ascii="Times New Roman;serif" w:hAnsi="Times New Roman;serif"/>
          <w:b w:val="false"/>
          <w:color w:val="000000"/>
          <w:sz w:val="24"/>
        </w:rPr>
        <w:t>2.19.</w:t>
      </w:r>
      <w:r>
        <w:rPr>
          <w:color w:val="000000"/>
        </w:rPr>
        <w:t>“</w:t>
      </w:r>
      <w:r>
        <w:rPr>
          <w:rFonts w:ascii="Times New Roman;serif" w:hAnsi="Times New Roman;serif"/>
          <w:b w:val="false"/>
          <w:color w:val="000000"/>
          <w:sz w:val="24"/>
          <w:u w:val="single"/>
        </w:rPr>
        <w:t>Death Taxes</w:t>
      </w:r>
      <w:r>
        <w:rPr>
          <w:color w:val="000000"/>
        </w:rPr>
        <w:t xml:space="preserve">” </w:t>
      </w:r>
      <w:r>
        <w:rPr>
          <w:rFonts w:ascii="Times New Roman;serif" w:hAnsi="Times New Roman;serif"/>
          <w:b w:val="false"/>
          <w:color w:val="000000"/>
          <w:sz w:val="24"/>
        </w:rPr>
        <w:t>means any and all estate, inheritance, generation-skipping transfer, and other death taxes as well as any interest and penalties thereon imposed by any governmental entity (a “</w:t>
      </w:r>
      <w:r>
        <w:rPr>
          <w:rFonts w:ascii="Times New Roman;serif" w:hAnsi="Times New Roman;serif"/>
          <w:b w:val="false"/>
          <w:color w:val="000000"/>
          <w:sz w:val="24"/>
          <w:u w:val="single"/>
        </w:rPr>
        <w:t>taxing authority</w:t>
      </w:r>
      <w:r>
        <w:rPr>
          <w:color w:val="000000"/>
        </w:rPr>
        <w:t>”</w:t>
      </w:r>
      <w:r>
        <w:rPr>
          <w:rFonts w:ascii="Times New Roman;serif" w:hAnsi="Times New Roman;serif"/>
          <w:b w:val="false"/>
          <w:color w:val="000000"/>
          <w:sz w:val="24"/>
        </w:rPr>
        <w:t>) as a result of the death of the Participant or the Participant’s Beneficiary.</w:t>
      </w:r>
    </w:p>
    <w:p>
      <w:pPr>
        <w:pStyle w:val="TextBody"/>
        <w:bidi w:val="0"/>
        <w:spacing w:lineRule="auto" w:line="240" w:before="0" w:after="240"/>
        <w:ind w:left="0" w:right="0" w:firstLine="1440"/>
        <w:jc w:val="left"/>
        <w:rPr/>
      </w:pPr>
      <w:r>
        <w:rPr>
          <w:rFonts w:ascii="Times New Roman;serif" w:hAnsi="Times New Roman;serif"/>
          <w:b w:val="false"/>
          <w:color w:val="000000"/>
          <w:sz w:val="24"/>
        </w:rPr>
        <w:t>2.20.</w:t>
      </w:r>
      <w:r>
        <w:rPr>
          <w:color w:val="000000"/>
        </w:rPr>
        <w:t>“</w:t>
      </w:r>
      <w:r>
        <w:rPr>
          <w:rFonts w:ascii="Times New Roman;serif" w:hAnsi="Times New Roman;serif"/>
          <w:b w:val="false"/>
          <w:color w:val="000000"/>
          <w:sz w:val="24"/>
          <w:u w:val="single"/>
        </w:rPr>
        <w:t>Deceased Participant</w:t>
      </w:r>
      <w:r>
        <w:rPr>
          <w:color w:val="000000"/>
        </w:rPr>
        <w:t xml:space="preserve">” </w:t>
      </w:r>
      <w:r>
        <w:rPr>
          <w:rFonts w:ascii="Times New Roman;serif" w:hAnsi="Times New Roman;serif"/>
          <w:b w:val="false"/>
          <w:color w:val="000000"/>
          <w:sz w:val="24"/>
        </w:rPr>
        <w:t>means a Participant whose employment, or, in the case of a Participant who was an Outside Director, a Participant whose service as an Outside Director, is terminated by death.</w:t>
      </w:r>
    </w:p>
    <w:p>
      <w:pPr>
        <w:pStyle w:val="TextBody"/>
        <w:bidi w:val="0"/>
        <w:spacing w:lineRule="auto" w:line="240" w:before="0" w:after="240"/>
        <w:ind w:left="0" w:right="0" w:firstLine="1440"/>
        <w:jc w:val="left"/>
        <w:rPr/>
      </w:pPr>
      <w:r>
        <w:rPr>
          <w:rFonts w:ascii="Times New Roman;serif" w:hAnsi="Times New Roman;serif"/>
          <w:b w:val="false"/>
          <w:color w:val="000000"/>
          <w:sz w:val="24"/>
        </w:rPr>
        <w:t>2.21.</w:t>
      </w:r>
      <w:r>
        <w:rPr>
          <w:color w:val="000000"/>
        </w:rPr>
        <w:t>“</w:t>
      </w:r>
      <w:r>
        <w:rPr>
          <w:rFonts w:ascii="Times New Roman;serif" w:hAnsi="Times New Roman;serif"/>
          <w:b w:val="false"/>
          <w:color w:val="000000"/>
          <w:sz w:val="24"/>
          <w:u w:val="single"/>
        </w:rPr>
        <w:t>Disabled Participant</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A Participant whose employment or, in the case of a Participant who is an Outside Director, a Participant whose service as an Outside Director, is terminated by reason of disability;</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The duly-appointed legal guardian of an individual described in Section 2.21(a) acting on behalf of such individual.</w:t>
      </w:r>
    </w:p>
    <w:p>
      <w:pPr>
        <w:pStyle w:val="TextBody"/>
        <w:bidi w:val="0"/>
        <w:spacing w:lineRule="auto" w:line="240" w:before="0" w:after="240"/>
        <w:ind w:left="0" w:right="0" w:firstLine="1440"/>
        <w:jc w:val="left"/>
        <w:rPr/>
      </w:pPr>
      <w:r>
        <w:rPr>
          <w:rFonts w:ascii="Times New Roman;serif" w:hAnsi="Times New Roman;serif"/>
          <w:b w:val="false"/>
          <w:color w:val="000000"/>
          <w:sz w:val="24"/>
        </w:rPr>
        <w:t>2.22.</w:t>
      </w:r>
      <w:r>
        <w:rPr>
          <w:color w:val="000000"/>
        </w:rPr>
        <w:t>“</w:t>
      </w:r>
      <w:r>
        <w:rPr>
          <w:rFonts w:ascii="Times New Roman;serif" w:hAnsi="Times New Roman;serif"/>
          <w:b w:val="false"/>
          <w:color w:val="000000"/>
          <w:sz w:val="24"/>
          <w:u w:val="single"/>
        </w:rPr>
        <w:t>Eligible Employee</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Each employee of a Participating Company who, as of December 31, 1989, was eligible to participate in the Prior Plan.</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Each employee of a Participating Company who was, at any time before January 1, 1995, eligible to participate in the Prior Plan and whose Annual Rate of Pay is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87680"/>
                <wp:effectExtent l="0" t="0" r="0" b="0"/>
                <wp:wrapNone/>
                <wp:docPr id="49" name="Frame48"/>
                <a:graphic xmlns:a="http://schemas.openxmlformats.org/drawingml/2006/main">
                  <a:graphicData uri="http://schemas.microsoft.com/office/word/2010/wordprocessingShape">
                    <wps:wsp>
                      <wps:cNvSpPr txBox="1"/>
                      <wps:spPr>
                        <a:xfrm>
                          <a:off x="0" y="0"/>
                          <a:ext cx="6480175" cy="487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$90,000 or more as of both (i) the date on which an Initial Election is filed with the Administrator and (ii) the first day of each calendar year beginning after December 31, 1994.</w:t>
      </w:r>
    </w:p>
    <w:p>
      <w:pPr>
        <w:pStyle w:val="TextBody"/>
        <w:bidi w:val="0"/>
        <w:spacing w:lineRule="auto" w:line="240" w:before="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Each individual who was an employee of an entity that was a Participating Company in the Plan as of June 30, 2002 and who has an Annual Rate of Pay of $125,000 as of each of (i) June 30, 2002; (ii) the date on which an Initial Election is filed with the Administrator and (iii) the first day of each calendar year beginning after December 31, 2002.</w:t>
      </w:r>
    </w:p>
    <w:p>
      <w:pPr>
        <w:pStyle w:val="TextBody"/>
        <w:bidi w:val="0"/>
        <w:spacing w:lineRule="auto" w:line="240" w:before="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Each employee of a Participating Company whose Annual Rate of Pay is $200,000 or more as of both (i) the date on which an Initial Election is filed with the Administrator and (ii) the first day of the calendar year in which such Initial Election is filed.</w:t>
      </w:r>
    </w:p>
    <w:p>
      <w:pPr>
        <w:pStyle w:val="TextBody"/>
        <w:bidi w:val="0"/>
        <w:spacing w:lineRule="auto" w:line="240" w:before="0" w:after="240"/>
        <w:ind w:left="0" w:right="0" w:firstLine="2160"/>
        <w:jc w:val="left"/>
        <w:rPr/>
      </w:pPr>
      <w:r>
        <w:rPr>
          <w:rFonts w:ascii="Times New Roman;serif" w:hAnsi="Times New Roman;serif"/>
          <w:b w:val="false"/>
          <w:color w:val="000000"/>
          <w:sz w:val="24"/>
        </w:rPr>
        <w:t>(e)</w:t>
      </w:r>
      <w:r>
        <w:rPr>
          <w:rFonts w:ascii="Times New Roman;serif" w:hAnsi="Times New Roman;serif"/>
          <w:b w:val="false"/>
          <w:color w:val="000000"/>
          <w:sz w:val="24"/>
        </w:rPr>
        <w:t>Each New Key Employee.</w:t>
      </w:r>
    </w:p>
    <w:p>
      <w:pPr>
        <w:pStyle w:val="TextBody"/>
        <w:bidi w:val="0"/>
        <w:spacing w:lineRule="auto" w:line="240" w:before="0" w:after="240"/>
        <w:ind w:left="0" w:right="0" w:firstLine="2160"/>
        <w:jc w:val="left"/>
        <w:rPr/>
      </w:pPr>
      <w:r>
        <w:rPr>
          <w:rFonts w:ascii="Times New Roman;serif" w:hAnsi="Times New Roman;serif"/>
          <w:b w:val="false"/>
          <w:color w:val="000000"/>
          <w:sz w:val="24"/>
        </w:rPr>
        <w:t>(f)</w:t>
      </w:r>
      <w:r>
        <w:rPr>
          <w:rFonts w:ascii="Times New Roman;serif" w:hAnsi="Times New Roman;serif"/>
          <w:b w:val="false"/>
          <w:color w:val="000000"/>
          <w:sz w:val="24"/>
        </w:rPr>
        <w:t>Each employee of a Participating Company who (i) as of December 31, 2002, was an “Eligible Employee” within the meaning of Section 2.34 of the AT&amp;T Broadband Deferred Compensation Plan (as amended and restated, effective November 18, 2002) with respect to whom an account was maintained, and (ii) for the period beginning on December 31, 2002 and extending through any date of determination, has been actively and continuously in service to the Company or an Affiliate.</w:t>
      </w:r>
    </w:p>
    <w:p>
      <w:pPr>
        <w:pStyle w:val="TextBody"/>
        <w:bidi w:val="0"/>
        <w:spacing w:lineRule="auto" w:line="240" w:before="0" w:after="240"/>
        <w:ind w:left="0" w:right="0" w:firstLine="2160"/>
        <w:jc w:val="left"/>
        <w:rPr/>
      </w:pPr>
      <w:r>
        <w:rPr>
          <w:rFonts w:ascii="Times New Roman;serif" w:hAnsi="Times New Roman;serif"/>
          <w:b w:val="false"/>
          <w:color w:val="000000"/>
          <w:sz w:val="24"/>
        </w:rPr>
        <w:t>(g)</w:t>
      </w:r>
      <w:r>
        <w:rPr>
          <w:rFonts w:ascii="Times New Roman;serif" w:hAnsi="Times New Roman;serif"/>
          <w:b w:val="false"/>
          <w:color w:val="000000"/>
          <w:sz w:val="24"/>
        </w:rPr>
        <w:t>Each other employee of a Participating Company who is designated by the Committee, in its discretion, as an Eligible Employee.</w:t>
      </w:r>
    </w:p>
    <w:p>
      <w:pPr>
        <w:pStyle w:val="TextBody"/>
        <w:bidi w:val="0"/>
        <w:spacing w:lineRule="auto" w:line="240" w:before="0" w:after="240"/>
        <w:ind w:left="0" w:right="0" w:firstLine="1440"/>
        <w:jc w:val="left"/>
        <w:rPr/>
      </w:pPr>
      <w:r>
        <w:rPr>
          <w:rFonts w:ascii="Times New Roman;serif" w:hAnsi="Times New Roman;serif"/>
          <w:b w:val="false"/>
          <w:color w:val="000000"/>
          <w:sz w:val="24"/>
        </w:rPr>
        <w:t>2.23.</w:t>
      </w:r>
      <w:r>
        <w:rPr>
          <w:color w:val="000000"/>
        </w:rPr>
        <w:t>“</w:t>
      </w:r>
      <w:r>
        <w:rPr>
          <w:rFonts w:ascii="Times New Roman;serif" w:hAnsi="Times New Roman;serif"/>
          <w:b w:val="false"/>
          <w:color w:val="000000"/>
          <w:sz w:val="24"/>
          <w:u w:val="single"/>
        </w:rPr>
        <w:t>Fair Market Value</w:t>
      </w:r>
      <w:r>
        <w:rPr>
          <w:color w:val="000000"/>
        </w:rPr>
        <w:t>”</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If shares of any Other Investment Fund are listed on a stock exchange, Fair Market Value shall be determined based on the last reported sale price of a share on the principal exchange on which shares are listed on the date of determination, or if such date is not a trading day, the next trading date.</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If shares of any Other Investment Fund are not so listed, but trades of shares are reported on a quotation system, Fair Market Value shall be determined based on the last quoted sale price of a share on the quotation system on the date of determination, or if such date is not a trading day, the next trading date.</w:t>
      </w:r>
    </w:p>
    <w:p>
      <w:pPr>
        <w:pStyle w:val="TextBody"/>
        <w:bidi w:val="0"/>
        <w:spacing w:lineRule="auto" w:line="240" w:before="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If shares of any Other Investment Fund are not so listed nor trades of shares so reported, Fair Market Value shall be determined by the Committee in good faith.</w:t>
      </w:r>
    </w:p>
    <w:p>
      <w:pPr>
        <w:pStyle w:val="TextBody"/>
        <w:bidi w:val="0"/>
        <w:spacing w:lineRule="auto" w:line="240" w:before="0" w:after="240"/>
        <w:ind w:left="0" w:right="0" w:firstLine="1440"/>
        <w:jc w:val="left"/>
        <w:rPr/>
      </w:pPr>
      <w:r>
        <w:rPr>
          <w:rFonts w:ascii="Times New Roman;serif" w:hAnsi="Times New Roman;serif"/>
          <w:b w:val="false"/>
          <w:color w:val="000000"/>
          <w:sz w:val="24"/>
        </w:rPr>
        <w:t>2.24.</w:t>
      </w:r>
      <w:r>
        <w:rPr>
          <w:color w:val="000000"/>
        </w:rPr>
        <w:t>“</w:t>
      </w:r>
      <w:r>
        <w:rPr>
          <w:rFonts w:ascii="Times New Roman;serif" w:hAnsi="Times New Roman;serif"/>
          <w:b w:val="false"/>
          <w:color w:val="000000"/>
          <w:sz w:val="24"/>
          <w:u w:val="single"/>
        </w:rPr>
        <w:t>Former Eligible Employee</w:t>
      </w:r>
      <w:r>
        <w:rPr>
          <w:color w:val="000000"/>
        </w:rPr>
        <w:t xml:space="preserve">” </w:t>
      </w:r>
      <w:r>
        <w:rPr>
          <w:rFonts w:ascii="Times New Roman;serif" w:hAnsi="Times New Roman;serif"/>
          <w:b w:val="false"/>
          <w:color w:val="000000"/>
          <w:sz w:val="24"/>
        </w:rPr>
        <w:t>means an employee of a Participating Company who, as of any relevant date, does not satisfy the requirements of an “Eligible Employee” but who previously met such requirements under the Plan or the Prior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2.25.</w:t>
      </w:r>
      <w:r>
        <w:rPr>
          <w:color w:val="000000"/>
        </w:rPr>
        <w:t>“</w:t>
      </w:r>
      <w:r>
        <w:rPr>
          <w:rFonts w:ascii="Times New Roman;serif" w:hAnsi="Times New Roman;serif"/>
          <w:b w:val="false"/>
          <w:color w:val="000000"/>
          <w:sz w:val="24"/>
          <w:u w:val="single"/>
        </w:rPr>
        <w:t>Grandfathered Participant</w:t>
      </w:r>
      <w:r>
        <w:rPr>
          <w:color w:val="000000"/>
        </w:rPr>
        <w:t xml:space="preserve">” </w:t>
      </w:r>
      <w:r>
        <w:rPr>
          <w:rFonts w:ascii="Times New Roman;serif" w:hAnsi="Times New Roman;serif"/>
          <w:b w:val="false"/>
          <w:color w:val="000000"/>
          <w:sz w:val="24"/>
        </w:rPr>
        <w:t>means an Inactive Participant who, on or before December 31, 1991, entered into a written agreement with the Company to terminate service to the Company or gives written notice of intention to terminate service to the Company, regardless of the actual date of termination of service.</w:t>
      </w:r>
    </w:p>
    <w:p>
      <w:pPr>
        <w:pStyle w:val="TextBody"/>
        <w:bidi w:val="0"/>
        <w:spacing w:lineRule="auto" w:line="240" w:before="0" w:after="240"/>
        <w:ind w:left="0" w:right="0" w:firstLine="1440"/>
        <w:jc w:val="left"/>
        <w:rPr/>
      </w:pPr>
      <w:r>
        <w:rPr>
          <w:rFonts w:ascii="Times New Roman;serif" w:hAnsi="Times New Roman;serif"/>
          <w:b w:val="false"/>
          <w:color w:val="000000"/>
          <w:sz w:val="24"/>
        </w:rPr>
        <w:t>2.26.</w:t>
      </w:r>
      <w:r>
        <w:rPr>
          <w:color w:val="000000"/>
        </w:rPr>
        <w:t>“</w:t>
      </w:r>
      <w:r>
        <w:rPr>
          <w:rFonts w:ascii="Times New Roman;serif" w:hAnsi="Times New Roman;serif"/>
          <w:b w:val="false"/>
          <w:color w:val="000000"/>
          <w:sz w:val="24"/>
          <w:u w:val="single"/>
        </w:rPr>
        <w:t>Hardship</w:t>
      </w:r>
      <w:r>
        <w:rPr>
          <w:color w:val="000000"/>
        </w:rPr>
        <w:t xml:space="preserve">” </w:t>
      </w:r>
      <w:r>
        <w:rPr>
          <w:rFonts w:ascii="Times New Roman;serif" w:hAnsi="Times New Roman;serif"/>
          <w:b w:val="false"/>
          <w:color w:val="000000"/>
          <w:sz w:val="24"/>
        </w:rPr>
        <w:t xml:space="preserve">means a Participant’s severe financial hardship due to an unforeseeable emergency resulting from a sudden and unexpected illness or accident of the Participant, or, a sudden and unexpected illness or accident of a dependent (as defined by section 152(a) of the Code) of the Participant, or loss of the Participant’s property due to casualty, or other similar and extraordinary unforeseeable circumstances arising as a result of events beyond the control of the Participant. A need to send the Participant’s child to college or a desire to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87680"/>
                <wp:effectExtent l="0" t="0" r="0" b="0"/>
                <wp:wrapNone/>
                <wp:docPr id="50" name="Frame49"/>
                <a:graphic xmlns:a="http://schemas.openxmlformats.org/drawingml/2006/main">
                  <a:graphicData uri="http://schemas.microsoft.com/office/word/2010/wordprocessingShape">
                    <wps:wsp>
                      <wps:cNvSpPr txBox="1"/>
                      <wps:spPr>
                        <a:xfrm>
                          <a:off x="0" y="0"/>
                          <a:ext cx="6480175" cy="487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4"/>
        </w:rPr>
        <w:t xml:space="preserve">purchase a home is not an unforeseeable emergency. No Hardship shall be deemed to exist to the extent that the financial hardship is or may be relieved (a) through reimbursement or compensation by insurance or otherwise, (b) by borrowing from commercial sources on reasonable commercial terms to the extent that this borrowing would not itself cause a severe financial hardship, (c) by cessation of deferrals under the Plan, or (d) by liquidation of the Participant’s other assets (including assets of the Participant’s spouse and minor children that are reasonably available to the Participant) to the extent that this liquidation would not itself cause severe financial hardship. For the purposes of the preceding sentence, the Participant’s resources shall be deemed to include those assets of his spouse and minor children that are reasonably available to the Participant; however, property held for the Participant’s child under an irrevocable trust or under a </w:t>
      </w:r>
      <w:r>
        <w:rPr>
          <w:rFonts w:ascii="Times New Roman;serif" w:hAnsi="Times New Roman;serif"/>
          <w:b w:val="false"/>
          <w:i/>
          <w:color w:val="000000"/>
          <w:sz w:val="24"/>
        </w:rPr>
        <w:t>Uniform Gifts to Minors Act</w:t>
      </w:r>
      <w:r>
        <w:rPr>
          <w:color w:val="000000"/>
        </w:rPr>
        <w:t xml:space="preserve"> </w:t>
      </w:r>
      <w:r>
        <w:rPr>
          <w:rFonts w:ascii="Times New Roman;serif" w:hAnsi="Times New Roman;serif"/>
          <w:b w:val="false"/>
          <w:color w:val="000000"/>
          <w:sz w:val="24"/>
        </w:rPr>
        <w:t xml:space="preserve">custodianship or </w:t>
      </w:r>
      <w:r>
        <w:rPr>
          <w:rFonts w:ascii="Times New Roman;serif" w:hAnsi="Times New Roman;serif"/>
          <w:b w:val="false"/>
          <w:i/>
          <w:color w:val="000000"/>
          <w:sz w:val="24"/>
        </w:rPr>
        <w:t>Uniform Transfers to Minors Act</w:t>
      </w:r>
      <w:r>
        <w:rPr>
          <w:color w:val="000000"/>
        </w:rPr>
        <w:t xml:space="preserve"> </w:t>
      </w:r>
      <w:r>
        <w:rPr>
          <w:rFonts w:ascii="Times New Roman;serif" w:hAnsi="Times New Roman;serif"/>
          <w:b w:val="false"/>
          <w:color w:val="000000"/>
          <w:sz w:val="24"/>
        </w:rPr>
        <w:t xml:space="preserve">custodianship shall not be treated as a resource of the Participant. The Board shall determine whether the circumstances of the Participant constitute an unforeseeable emergency and thus a Hardship within the meaning of this Section 2.26. Following a uniform procedure, the Board’s determination shall consider any facts or conditions deemed necessary or advisable by the Board, and the Participant shall be required to submit any evidence of the Participant’s circumstances that the Board requires. The determination as to whether the Participant’s circumstances are a case of Hardship shall be based on the facts of each case;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all determinations as to Hardship shall be uniformly and consistently made according to the provisions of this Section 2.26 for all Participants in similar circumstances.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2.27.</w:t>
      </w:r>
      <w:r>
        <w:rPr>
          <w:color w:val="000000"/>
        </w:rPr>
        <w:t>“</w:t>
      </w:r>
      <w:r>
        <w:rPr>
          <w:rFonts w:ascii="Times New Roman;serif" w:hAnsi="Times New Roman;serif"/>
          <w:b w:val="false"/>
          <w:color w:val="000000"/>
          <w:sz w:val="24"/>
          <w:u w:val="single"/>
        </w:rPr>
        <w:t>High Balance Participant</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A Participant the value of whose Account that is deemed invested in the Income Fund is greater than or equal to the Income Fund Limit, as determined by the Administrator;</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Effective February 28, 2021, a Participant who is, as of any relevant date of determination, an Outside Director.</w:t>
      </w:r>
    </w:p>
    <w:p>
      <w:pPr>
        <w:pStyle w:val="TextBody"/>
        <w:bidi w:val="0"/>
        <w:spacing w:lineRule="auto" w:line="240" w:before="0" w:after="240"/>
        <w:ind w:left="0" w:right="0" w:firstLine="2160"/>
        <w:jc w:val="left"/>
        <w:rPr/>
      </w:pPr>
      <w:r>
        <w:rPr>
          <w:rFonts w:ascii="Times New Roman;serif" w:hAnsi="Times New Roman;serif"/>
          <w:b w:val="false"/>
          <w:color w:val="000000"/>
          <w:sz w:val="24"/>
        </w:rPr>
        <w:t>(c)</w:t>
      </w:r>
      <w:r>
        <w:rPr>
          <w:color w:val="000000"/>
        </w:rPr>
        <w:t xml:space="preserve">     </w:t>
      </w:r>
      <w:r>
        <w:rPr>
          <w:rFonts w:ascii="Times New Roman;serif" w:hAnsi="Times New Roman;serif"/>
          <w:b w:val="false"/>
          <w:color w:val="000000"/>
          <w:sz w:val="24"/>
        </w:rPr>
        <w:t>Effective February 28, 2021, a Participant who is, as of any relevant date of determination, a Covered Participant.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2.28.</w:t>
      </w:r>
      <w:r>
        <w:rPr>
          <w:color w:val="000000"/>
        </w:rPr>
        <w:t>“</w:t>
      </w:r>
      <w:r>
        <w:rPr>
          <w:rFonts w:ascii="Times New Roman;serif" w:hAnsi="Times New Roman;serif"/>
          <w:b w:val="false"/>
          <w:color w:val="000000"/>
          <w:sz w:val="24"/>
          <w:u w:val="single"/>
        </w:rPr>
        <w:t>Inactive Participant</w:t>
      </w:r>
      <w:r>
        <w:rPr>
          <w:color w:val="000000"/>
        </w:rPr>
        <w:t xml:space="preserve">” </w:t>
      </w:r>
      <w:r>
        <w:rPr>
          <w:rFonts w:ascii="Times New Roman;serif" w:hAnsi="Times New Roman;serif"/>
          <w:b w:val="false"/>
          <w:color w:val="000000"/>
          <w:sz w:val="24"/>
        </w:rPr>
        <w:t>means each Participant (other than a Retired Participant, Deceased Participant or Disabled Participant) who is not in active service as an Outside Director and is not actively employed by a Participating Company.</w:t>
      </w:r>
    </w:p>
    <w:p>
      <w:pPr>
        <w:pStyle w:val="TextBody"/>
        <w:bidi w:val="0"/>
        <w:spacing w:lineRule="auto" w:line="240" w:before="0" w:after="240"/>
        <w:ind w:left="0" w:right="0" w:firstLine="1440"/>
        <w:jc w:val="left"/>
        <w:rPr/>
      </w:pPr>
      <w:r>
        <w:rPr>
          <w:rFonts w:ascii="Times New Roman;serif" w:hAnsi="Times New Roman;serif"/>
          <w:b w:val="false"/>
          <w:color w:val="000000"/>
          <w:sz w:val="24"/>
        </w:rPr>
        <w:t>2.29.</w:t>
      </w:r>
      <w:r>
        <w:rPr>
          <w:color w:val="000000"/>
        </w:rPr>
        <w:t>“</w:t>
      </w:r>
      <w:r>
        <w:rPr>
          <w:rFonts w:ascii="Times New Roman;serif" w:hAnsi="Times New Roman;serif"/>
          <w:b w:val="false"/>
          <w:color w:val="000000"/>
          <w:sz w:val="24"/>
          <w:u w:val="single"/>
        </w:rPr>
        <w:t>Income Fund</w:t>
      </w:r>
      <w:r>
        <w:rPr>
          <w:color w:val="000000"/>
        </w:rPr>
        <w:t xml:space="preserve">” </w:t>
      </w:r>
      <w:r>
        <w:rPr>
          <w:rFonts w:ascii="Times New Roman;serif" w:hAnsi="Times New Roman;serif"/>
          <w:b w:val="false"/>
          <w:color w:val="000000"/>
          <w:sz w:val="24"/>
        </w:rPr>
        <w:t>means a hypothetical investment fund pursuant to which income, gains and losses are credited to a Participant’s Account as if the Account, to the extent deemed invested in the Income Fund, were credited with interest at the Applicable Interest Rate. For purposes of this Section 2.29, the Income Fund shall include amounts credited to (a) the Income Fund under the Comcast Corporation 2002 Restricted Stock Plan and (b) Supplemental Retirement-Investment Plan Accounts under Section 4.4.</w:t>
      </w:r>
    </w:p>
    <w:p>
      <w:pPr>
        <w:pStyle w:val="TextBody"/>
        <w:bidi w:val="0"/>
        <w:spacing w:lineRule="auto" w:line="240" w:before="0" w:after="240"/>
        <w:ind w:left="0" w:right="0" w:firstLine="1440"/>
        <w:jc w:val="left"/>
        <w:rPr/>
      </w:pPr>
      <w:r>
        <w:rPr>
          <w:rFonts w:ascii="Times New Roman;serif" w:hAnsi="Times New Roman;serif"/>
          <w:b w:val="false"/>
          <w:color w:val="000000"/>
          <w:sz w:val="24"/>
        </w:rPr>
        <w:t>2.30.</w:t>
      </w:r>
      <w:r>
        <w:rPr>
          <w:color w:val="000000"/>
        </w:rPr>
        <w:t>“</w:t>
      </w:r>
      <w:r>
        <w:rPr>
          <w:rFonts w:ascii="Times New Roman;serif" w:hAnsi="Times New Roman;serif"/>
          <w:b w:val="false"/>
          <w:color w:val="000000"/>
          <w:sz w:val="24"/>
          <w:u w:val="single"/>
        </w:rPr>
        <w:t>Income Fund Limit</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 xml:space="preserve">With respect to Participants other than Participants described in Section 2.30(b) or Section 2.30(c), $100 million;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the amount credited to a Participant’s Income Fund is greater than $100 million as of December 31, 2019, the Income Fund Limit applicable to such Participant for any applicable Plan Year shall be equal to the amount credited to a Participant’s Income Fund as of the December 31 immediately preceding such applicable Plan Year until such balance is equal to or less than $100 million.</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87680"/>
                <wp:effectExtent l="0" t="0" r="0" b="0"/>
                <wp:wrapNone/>
                <wp:docPr id="51" name="Frame50"/>
                <a:graphic xmlns:a="http://schemas.openxmlformats.org/drawingml/2006/main">
                  <a:graphicData uri="http://schemas.microsoft.com/office/word/2010/wordprocessingShape">
                    <wps:wsp>
                      <wps:cNvSpPr txBox="1"/>
                      <wps:spPr>
                        <a:xfrm>
                          <a:off x="0" y="0"/>
                          <a:ext cx="6480175" cy="487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v:textbox>
                <w10:wrap type="none"/>
              </v:rect>
            </w:pict>
          </mc:Fallback>
        </mc:AlternateConten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Effective as of July 31, 2020, with respect to Participants who are Outside Directors, $0 (zero dollars).</w:t>
      </w:r>
    </w:p>
    <w:p>
      <w:pPr>
        <w:pStyle w:val="TextBody"/>
        <w:bidi w:val="0"/>
        <w:spacing w:lineRule="auto" w:line="240" w:before="0" w:after="240"/>
        <w:ind w:left="0" w:right="0" w:firstLine="2160"/>
        <w:jc w:val="left"/>
        <w:rPr/>
      </w:pPr>
      <w:r>
        <w:rPr>
          <w:rFonts w:ascii="Times New Roman;serif" w:hAnsi="Times New Roman;serif"/>
          <w:b w:val="false"/>
          <w:color w:val="000000"/>
          <w:sz w:val="24"/>
        </w:rPr>
        <w:t>(c)</w:t>
      </w:r>
      <w:r>
        <w:rPr>
          <w:color w:val="000000"/>
        </w:rPr>
        <w:t xml:space="preserve">     </w:t>
      </w:r>
      <w:r>
        <w:rPr>
          <w:rFonts w:ascii="Times New Roman;serif" w:hAnsi="Times New Roman;serif"/>
          <w:b w:val="false"/>
          <w:color w:val="000000"/>
          <w:sz w:val="24"/>
        </w:rPr>
        <w:t>Effective as of February 28, 2021, with respect to Participants who are Covered Participants as of such date, $0 (zero dollars).</w:t>
      </w:r>
    </w:p>
    <w:p>
      <w:pPr>
        <w:pStyle w:val="TextBody"/>
        <w:bidi w:val="0"/>
        <w:spacing w:lineRule="auto" w:line="240" w:before="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Effective as of the last day of the month following the date a Participant first becomes an Outside Director or a Covered Participant, $0 (zero dollars).</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The Administrator may waive or modify downward the Income Fund Limit applicable to one or more High Balance Participants in its discretion. For purposes of this Section 2.30, the Income Fund shall include amounts credited to the Income Fund under the Comcast Corporation 2005 DC Plan, the Restricted Stock Plan and the 2027 DC Plan.</w:t>
      </w:r>
    </w:p>
    <w:p>
      <w:pPr>
        <w:pStyle w:val="TextBody"/>
        <w:bidi w:val="0"/>
        <w:spacing w:before="0" w:after="0"/>
        <w:jc w:val="left"/>
        <w:rPr/>
      </w:pPr>
      <w:r>
        <w:rPr/>
      </w:r>
    </w:p>
    <w:p>
      <w:pPr>
        <w:pStyle w:val="TextBody"/>
        <w:bidi w:val="0"/>
        <w:spacing w:lineRule="auto" w:line="240" w:before="0" w:after="240"/>
        <w:ind w:left="0" w:right="0" w:firstLine="1440"/>
        <w:jc w:val="left"/>
        <w:rPr/>
      </w:pPr>
      <w:r>
        <w:rPr>
          <w:rFonts w:ascii="Times New Roman;serif" w:hAnsi="Times New Roman;serif"/>
          <w:b w:val="false"/>
          <w:color w:val="000000"/>
          <w:sz w:val="24"/>
        </w:rPr>
        <w:t>2.31.</w:t>
      </w:r>
      <w:r>
        <w:rPr>
          <w:color w:val="000000"/>
        </w:rPr>
        <w:t>“</w:t>
      </w:r>
      <w:r>
        <w:rPr>
          <w:rFonts w:ascii="Times New Roman;serif" w:hAnsi="Times New Roman;serif"/>
          <w:b w:val="false"/>
          <w:color w:val="000000"/>
          <w:sz w:val="24"/>
          <w:u w:val="single"/>
        </w:rPr>
        <w:t>Initial Election</w:t>
      </w:r>
      <w:r>
        <w:rPr>
          <w:color w:val="000000"/>
        </w:rPr>
        <w:t xml:space="preserve">” </w:t>
      </w:r>
      <w:r>
        <w:rPr>
          <w:rFonts w:ascii="Times New Roman;serif" w:hAnsi="Times New Roman;serif"/>
          <w:b w:val="false"/>
          <w:color w:val="000000"/>
          <w:sz w:val="24"/>
        </w:rPr>
        <w:t>means a written election on a form provided by the Administrator, filed with the Administrator in accordance with Article 3, pursuant to which an Outside Director or an Eligible Employee may:</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Elect to defer all or any portion of the Compensation payable for the performance of services as an Outside Director or as an Eligible Employee (including Severance Pay, to the extent permitted with respect to an Eligible Employee pursuant to Section 3.2) following the time that such election is filed; and</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Designate the time of payment of the amount of deferred Compensation to which the Initial Election relates.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2.32.</w:t>
      </w:r>
      <w:r>
        <w:rPr>
          <w:color w:val="000000"/>
        </w:rPr>
        <w:t>“</w:t>
      </w:r>
      <w:r>
        <w:rPr>
          <w:rFonts w:ascii="Times New Roman;serif" w:hAnsi="Times New Roman;serif"/>
          <w:b w:val="false"/>
          <w:color w:val="000000"/>
          <w:sz w:val="24"/>
          <w:u w:val="single"/>
        </w:rPr>
        <w:t>Insider</w:t>
      </w:r>
      <w:r>
        <w:rPr>
          <w:color w:val="000000"/>
        </w:rPr>
        <w:t xml:space="preserve">” </w:t>
      </w:r>
      <w:r>
        <w:rPr>
          <w:rFonts w:ascii="Times New Roman;serif" w:hAnsi="Times New Roman;serif"/>
          <w:b w:val="false"/>
          <w:color w:val="000000"/>
          <w:sz w:val="24"/>
        </w:rPr>
        <w:t>means an Eligible Employee or Outside Director who is subject to the short-swing profit recapture rules of section 16(b) of the Securities Exchange Act of 1934, as amended.</w:t>
      </w:r>
    </w:p>
    <w:p>
      <w:pPr>
        <w:pStyle w:val="TextBody"/>
        <w:bidi w:val="0"/>
        <w:spacing w:lineRule="auto" w:line="240" w:before="0" w:after="240"/>
        <w:ind w:left="0" w:right="0" w:firstLine="1440"/>
        <w:jc w:val="left"/>
        <w:rPr/>
      </w:pPr>
      <w:r>
        <w:rPr>
          <w:rFonts w:ascii="Times New Roman;serif" w:hAnsi="Times New Roman;serif"/>
          <w:b w:val="false"/>
          <w:color w:val="000000"/>
          <w:sz w:val="24"/>
        </w:rPr>
        <w:t>2.33.</w:t>
      </w:r>
      <w:r>
        <w:rPr>
          <w:color w:val="000000"/>
        </w:rPr>
        <w:t>“</w:t>
      </w:r>
      <w:r>
        <w:rPr>
          <w:rFonts w:ascii="Times New Roman;serif" w:hAnsi="Times New Roman;serif"/>
          <w:b w:val="false"/>
          <w:color w:val="000000"/>
          <w:sz w:val="24"/>
          <w:u w:val="single"/>
        </w:rPr>
        <w:t>LIBOR</w:t>
      </w:r>
      <w:r>
        <w:rPr>
          <w:color w:val="000000"/>
        </w:rPr>
        <w:t xml:space="preserve">” </w:t>
      </w:r>
      <w:r>
        <w:rPr>
          <w:rFonts w:ascii="Times New Roman;serif" w:hAnsi="Times New Roman;serif"/>
          <w:b w:val="false"/>
          <w:color w:val="000000"/>
          <w:sz w:val="24"/>
        </w:rPr>
        <w:t xml:space="preserve">means, for any calendar year, the interest rate that, when compounded daily pursuant to rules established by the Administrator from time to time, is mathematically equivalent to the annual London Inter Bank Offered Rate (compounded annually), as published in the Eastern Edition of </w:t>
      </w:r>
      <w:r>
        <w:rPr>
          <w:rFonts w:ascii="Times New Roman;serif" w:hAnsi="Times New Roman;serif"/>
          <w:b w:val="false"/>
          <w:color w:val="000000"/>
          <w:sz w:val="24"/>
          <w:u w:val="single"/>
        </w:rPr>
        <w:t>The Wall Street Journal</w:t>
      </w:r>
      <w:r>
        <w:rPr>
          <w:rFonts w:ascii="Times New Roman;serif" w:hAnsi="Times New Roman;serif"/>
          <w:b w:val="false"/>
          <w:color w:val="000000"/>
          <w:sz w:val="24"/>
        </w:rPr>
        <w:t>, on the last business day preceding the first day of such calendar year, and as adjusted as of the last business day preceding the first day of each calendar year beginning thereafter.</w:t>
      </w:r>
    </w:p>
    <w:p>
      <w:pPr>
        <w:pStyle w:val="TextBody"/>
        <w:bidi w:val="0"/>
        <w:spacing w:lineRule="auto" w:line="240" w:before="0" w:after="240"/>
        <w:ind w:left="0" w:right="0" w:firstLine="1440"/>
        <w:jc w:val="left"/>
        <w:rPr/>
      </w:pPr>
      <w:r>
        <w:rPr>
          <w:rFonts w:ascii="Times New Roman;serif" w:hAnsi="Times New Roman;serif"/>
          <w:b w:val="false"/>
          <w:color w:val="000000"/>
          <w:sz w:val="24"/>
        </w:rPr>
        <w:t>2.34.</w:t>
      </w:r>
      <w:r>
        <w:rPr>
          <w:color w:val="000000"/>
        </w:rPr>
        <w:t>“</w:t>
      </w:r>
      <w:r>
        <w:rPr>
          <w:rFonts w:ascii="Times New Roman;serif" w:hAnsi="Times New Roman;serif"/>
          <w:b w:val="false"/>
          <w:color w:val="000000"/>
          <w:sz w:val="24"/>
          <w:u w:val="single"/>
        </w:rPr>
        <w:t>New Key Employee</w:t>
      </w:r>
      <w:r>
        <w:rPr>
          <w:color w:val="000000"/>
        </w:rPr>
        <w:t xml:space="preserve">” </w:t>
      </w:r>
      <w:r>
        <w:rPr>
          <w:rFonts w:ascii="Times New Roman;serif" w:hAnsi="Times New Roman;serif"/>
          <w:b w:val="false"/>
          <w:color w:val="000000"/>
          <w:sz w:val="24"/>
        </w:rPr>
        <w:t>means each employee of a Participating Company:</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who becomes an employee of a Participating Company and has an Annual Rate of Pay of $200,000 or more as of his employment commencement date, or </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who has an Annual Rate of Pay that is increased to $200,000 or more and who, immediately preceding such increase, was not an Eligible Employee.</w:t>
      </w:r>
    </w:p>
    <w:p>
      <w:pPr>
        <w:pStyle w:val="TextBody"/>
        <w:bidi w:val="0"/>
        <w:spacing w:lineRule="auto" w:line="240" w:before="0" w:after="240"/>
        <w:ind w:left="0" w:right="0" w:firstLine="1440"/>
        <w:jc w:val="left"/>
        <w:rPr/>
      </w:pPr>
      <w:r>
        <w:rPr>
          <w:rFonts w:ascii="Times New Roman;serif" w:hAnsi="Times New Roman;serif"/>
          <w:b w:val="false"/>
          <w:color w:val="000000"/>
          <w:sz w:val="24"/>
        </w:rPr>
        <w:t>2.35.</w:t>
      </w:r>
      <w:r>
        <w:rPr>
          <w:color w:val="000000"/>
        </w:rPr>
        <w:t>“</w:t>
      </w:r>
      <w:r>
        <w:rPr>
          <w:rFonts w:ascii="Times New Roman;serif" w:hAnsi="Times New Roman;serif"/>
          <w:b w:val="false"/>
          <w:color w:val="000000"/>
          <w:sz w:val="24"/>
          <w:u w:val="single"/>
        </w:rPr>
        <w:t>Normal Retirement</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For a Participant who is an Outside Director immediately preceding his termination of service, his normal retirement from the Board.</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87680"/>
                <wp:effectExtent l="0" t="0" r="0" b="0"/>
                <wp:wrapNone/>
                <wp:docPr id="52" name="Frame51"/>
                <a:graphic xmlns:a="http://schemas.openxmlformats.org/drawingml/2006/main">
                  <a:graphicData uri="http://schemas.microsoft.com/office/word/2010/wordprocessingShape">
                    <wps:wsp>
                      <wps:cNvSpPr txBox="1"/>
                      <wps:spPr>
                        <a:xfrm>
                          <a:off x="0" y="0"/>
                          <a:ext cx="6480175" cy="487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4"/>
        </w:rPr>
        <w:t>2.36.</w:t>
      </w:r>
      <w:r>
        <w:rPr>
          <w:color w:val="000000"/>
        </w:rPr>
        <w:t>“</w:t>
      </w:r>
      <w:r>
        <w:rPr>
          <w:rFonts w:ascii="Times New Roman;serif" w:hAnsi="Times New Roman;serif"/>
          <w:b w:val="false"/>
          <w:color w:val="000000"/>
          <w:sz w:val="24"/>
          <w:u w:val="single"/>
        </w:rPr>
        <w:t>Other Investment Fund</w:t>
      </w:r>
      <w:r>
        <w:rPr>
          <w:color w:val="000000"/>
        </w:rPr>
        <w:t xml:space="preserve">” </w:t>
      </w:r>
      <w:r>
        <w:rPr>
          <w:rFonts w:ascii="Times New Roman;serif" w:hAnsi="Times New Roman;serif"/>
          <w:b w:val="false"/>
          <w:color w:val="000000"/>
          <w:sz w:val="24"/>
        </w:rPr>
        <w:t>means the Company Stock Fund and such other hypothetical investment funds designated by the Administrator, pursuant to which income, gains and losses are credited to a Participant’s Account as if the Account, to the extent deemed invested in such Other Investment Fund, were credited with income, gains and losses as if actually invested in such Other Investment Fund. Unless otherwise specified by the Administrator, the Participant shall designate the Other Investment Funds in which the Participant’s Account shall be invested in accordance with rules established by the Administrator.</w:t>
      </w:r>
    </w:p>
    <w:p>
      <w:pPr>
        <w:pStyle w:val="TextBody"/>
        <w:bidi w:val="0"/>
        <w:spacing w:lineRule="auto" w:line="240" w:before="0" w:after="240"/>
        <w:ind w:left="0" w:right="0" w:firstLine="1440"/>
        <w:jc w:val="left"/>
        <w:rPr/>
      </w:pPr>
      <w:r>
        <w:rPr>
          <w:rFonts w:ascii="Times New Roman;serif" w:hAnsi="Times New Roman;serif"/>
          <w:b w:val="false"/>
          <w:color w:val="000000"/>
          <w:sz w:val="24"/>
        </w:rPr>
        <w:t>2.37.</w:t>
      </w:r>
      <w:r>
        <w:rPr>
          <w:color w:val="000000"/>
        </w:rPr>
        <w:t>“</w:t>
      </w:r>
      <w:r>
        <w:rPr>
          <w:rFonts w:ascii="Times New Roman;serif" w:hAnsi="Times New Roman;serif"/>
          <w:b w:val="false"/>
          <w:color w:val="000000"/>
          <w:sz w:val="24"/>
          <w:u w:val="single"/>
        </w:rPr>
        <w:t>Outside Director</w:t>
      </w:r>
      <w:r>
        <w:rPr>
          <w:color w:val="000000"/>
        </w:rPr>
        <w:t xml:space="preserve">” </w:t>
      </w:r>
      <w:r>
        <w:rPr>
          <w:rFonts w:ascii="Times New Roman;serif" w:hAnsi="Times New Roman;serif"/>
          <w:b w:val="false"/>
          <w:color w:val="000000"/>
          <w:sz w:val="24"/>
        </w:rPr>
        <w:t>means a member of the Board, who is not an employee of a Participating Company.</w:t>
      </w:r>
    </w:p>
    <w:p>
      <w:pPr>
        <w:pStyle w:val="TextBody"/>
        <w:bidi w:val="0"/>
        <w:spacing w:lineRule="auto" w:line="240" w:before="0" w:after="240"/>
        <w:ind w:left="0" w:right="0" w:firstLine="1440"/>
        <w:jc w:val="left"/>
        <w:rPr/>
      </w:pPr>
      <w:r>
        <w:rPr>
          <w:rFonts w:ascii="Times New Roman;serif" w:hAnsi="Times New Roman;serif"/>
          <w:b w:val="false"/>
          <w:color w:val="000000"/>
          <w:sz w:val="24"/>
        </w:rPr>
        <w:t>2.38.</w:t>
      </w:r>
      <w:r>
        <w:rPr>
          <w:color w:val="000000"/>
        </w:rPr>
        <w:t>“</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2.39.</w:t>
      </w:r>
      <w:r>
        <w:rPr>
          <w:color w:val="000000"/>
        </w:rPr>
        <w:t>“</w:t>
      </w:r>
      <w:r>
        <w:rPr>
          <w:rFonts w:ascii="Times New Roman;serif" w:hAnsi="Times New Roman;serif"/>
          <w:b w:val="false"/>
          <w:color w:val="000000"/>
          <w:sz w:val="24"/>
          <w:u w:val="single"/>
        </w:rPr>
        <w:t>Participating Company</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The Company;</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Comcast Cable Communications, LLC, and its subsidiaries;</w:t>
      </w:r>
    </w:p>
    <w:p>
      <w:pPr>
        <w:pStyle w:val="TextBody"/>
        <w:bidi w:val="0"/>
        <w:spacing w:lineRule="auto" w:line="240" w:before="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Comcast International Holdings, Inc.;</w:t>
      </w:r>
    </w:p>
    <w:p>
      <w:pPr>
        <w:pStyle w:val="TextBody"/>
        <w:bidi w:val="0"/>
        <w:spacing w:lineRule="auto" w:line="240" w:before="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Comcast Online Communications, Inc.;</w:t>
      </w:r>
    </w:p>
    <w:p>
      <w:pPr>
        <w:pStyle w:val="TextBody"/>
        <w:bidi w:val="0"/>
        <w:spacing w:lineRule="auto" w:line="240" w:before="0" w:after="240"/>
        <w:ind w:left="0" w:right="0" w:firstLine="2160"/>
        <w:jc w:val="left"/>
        <w:rPr/>
      </w:pPr>
      <w:r>
        <w:rPr>
          <w:rFonts w:ascii="Times New Roman;serif" w:hAnsi="Times New Roman;serif"/>
          <w:b w:val="false"/>
          <w:color w:val="000000"/>
          <w:sz w:val="24"/>
        </w:rPr>
        <w:t>(e)</w:t>
      </w:r>
      <w:r>
        <w:rPr>
          <w:rFonts w:ascii="Times New Roman;serif" w:hAnsi="Times New Roman;serif"/>
          <w:b w:val="false"/>
          <w:color w:val="000000"/>
          <w:sz w:val="24"/>
        </w:rPr>
        <w:t>Comcast Business Communications, Inc.;</w:t>
      </w:r>
    </w:p>
    <w:p>
      <w:pPr>
        <w:pStyle w:val="TextBody"/>
        <w:bidi w:val="0"/>
        <w:spacing w:lineRule="auto" w:line="240" w:before="0" w:after="240"/>
        <w:ind w:left="0" w:right="0" w:firstLine="2160"/>
        <w:jc w:val="left"/>
        <w:rPr/>
      </w:pPr>
      <w:r>
        <w:rPr>
          <w:rFonts w:ascii="Times New Roman;serif" w:hAnsi="Times New Roman;serif"/>
          <w:b w:val="false"/>
          <w:color w:val="000000"/>
          <w:sz w:val="24"/>
        </w:rPr>
        <w:t>(f)</w:t>
      </w:r>
      <w:r>
        <w:rPr>
          <w:rFonts w:ascii="Times New Roman;serif" w:hAnsi="Times New Roman;serif"/>
          <w:b w:val="false"/>
          <w:color w:val="000000"/>
          <w:sz w:val="24"/>
        </w:rPr>
        <w:t xml:space="preserve">CCCHI and its subsidiaries; </w:t>
      </w:r>
    </w:p>
    <w:p>
      <w:pPr>
        <w:pStyle w:val="TextBody"/>
        <w:bidi w:val="0"/>
        <w:spacing w:lineRule="auto" w:line="240" w:before="0" w:after="240"/>
        <w:ind w:left="0" w:right="0" w:firstLine="2160"/>
        <w:jc w:val="left"/>
        <w:rPr/>
      </w:pPr>
      <w:r>
        <w:rPr>
          <w:rFonts w:ascii="Times New Roman;serif" w:hAnsi="Times New Roman;serif"/>
          <w:b w:val="false"/>
          <w:color w:val="000000"/>
          <w:sz w:val="24"/>
        </w:rPr>
        <w:t>(g)</w:t>
      </w:r>
      <w:r>
        <w:rPr>
          <w:rFonts w:ascii="Times New Roman;serif" w:hAnsi="Times New Roman;serif"/>
          <w:b w:val="false"/>
          <w:color w:val="000000"/>
          <w:sz w:val="24"/>
        </w:rPr>
        <w:t>Comcast Shared Services Corporation (“</w:t>
      </w:r>
      <w:r>
        <w:rPr>
          <w:rFonts w:ascii="Times New Roman;serif" w:hAnsi="Times New Roman;serif"/>
          <w:b w:val="false"/>
          <w:color w:val="000000"/>
          <w:sz w:val="24"/>
          <w:u w:val="single"/>
        </w:rPr>
        <w:t>CSSC</w:t>
      </w:r>
      <w:r>
        <w:rPr>
          <w:color w:val="000000"/>
        </w:rPr>
        <w:t>”</w:t>
      </w:r>
      <w:r>
        <w:rPr>
          <w:rFonts w:ascii="Times New Roman;serif" w:hAnsi="Times New Roman;serif"/>
          <w:b w:val="false"/>
          <w:color w:val="000000"/>
          <w:sz w:val="24"/>
        </w:rPr>
        <w:t>), to the extent individual employees of CSSC or groups of CSSC employees, categorized by their secondment, are designated as eligible to participate by the Committee or its delegate; and</w:t>
      </w:r>
    </w:p>
    <w:p>
      <w:pPr>
        <w:pStyle w:val="TextBody"/>
        <w:bidi w:val="0"/>
        <w:spacing w:lineRule="auto" w:line="240" w:before="0" w:after="240"/>
        <w:ind w:left="0" w:right="0" w:firstLine="2160"/>
        <w:jc w:val="left"/>
        <w:rPr/>
      </w:pPr>
      <w:r>
        <w:rPr>
          <w:rFonts w:ascii="Times New Roman;serif" w:hAnsi="Times New Roman;serif"/>
          <w:b w:val="false"/>
          <w:color w:val="000000"/>
          <w:sz w:val="24"/>
        </w:rPr>
        <w:t>(h)</w:t>
      </w:r>
      <w:r>
        <w:rPr>
          <w:rFonts w:ascii="Times New Roman;serif" w:hAnsi="Times New Roman;serif"/>
          <w:b w:val="false"/>
          <w:color w:val="000000"/>
          <w:sz w:val="24"/>
        </w:rPr>
        <w:t>Any other entities that are subsidiaries of the Company as designated by the Committee in its sole discretion.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2.40.</w:t>
      </w: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 individual, a corporation, a partnership, an association, a trust or any other entity or organization.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2.41.</w:t>
      </w:r>
      <w:r>
        <w:rPr>
          <w:color w:val="000000"/>
        </w:rPr>
        <w:t>“</w:t>
      </w:r>
      <w:r>
        <w:rPr>
          <w:rFonts w:ascii="Times New Roman;serif" w:hAnsi="Times New Roman;serif"/>
          <w:b w:val="false"/>
          <w:color w:val="000000"/>
          <w:sz w:val="24"/>
          <w:u w:val="single"/>
        </w:rPr>
        <w:t>Plan</w:t>
      </w:r>
      <w:r>
        <w:rPr>
          <w:color w:val="000000"/>
        </w:rPr>
        <w:t xml:space="preserve">” </w:t>
      </w:r>
      <w:r>
        <w:rPr>
          <w:rFonts w:ascii="Times New Roman;serif" w:hAnsi="Times New Roman;serif"/>
          <w:b w:val="false"/>
          <w:color w:val="000000"/>
          <w:sz w:val="24"/>
        </w:rPr>
        <w:t>means the Comcast Corporation 2002 Deferred Compensation Plan, as set forth herein, and as may be amended or amended and restated from time to time.</w:t>
      </w:r>
    </w:p>
    <w:p>
      <w:pPr>
        <w:pStyle w:val="TextBody"/>
        <w:bidi w:val="0"/>
        <w:spacing w:lineRule="auto" w:line="240" w:before="0" w:after="240"/>
        <w:ind w:left="0" w:right="0" w:firstLine="1440"/>
        <w:jc w:val="left"/>
        <w:rPr/>
      </w:pPr>
      <w:r>
        <w:rPr>
          <w:rFonts w:ascii="Times New Roman;serif" w:hAnsi="Times New Roman;serif"/>
          <w:b w:val="false"/>
          <w:color w:val="000000"/>
          <w:sz w:val="24"/>
        </w:rPr>
        <w:t>2.42.</w:t>
      </w:r>
      <w:r>
        <w:rPr>
          <w:color w:val="000000"/>
        </w:rPr>
        <w:t>“</w:t>
      </w:r>
      <w:r>
        <w:rPr>
          <w:rFonts w:ascii="Times New Roman;serif" w:hAnsi="Times New Roman;serif"/>
          <w:b w:val="false"/>
          <w:color w:val="000000"/>
          <w:sz w:val="24"/>
          <w:u w:val="single"/>
        </w:rPr>
        <w:t>Prime Rate</w:t>
      </w:r>
      <w:r>
        <w:rPr>
          <w:color w:val="000000"/>
        </w:rPr>
        <w:t xml:space="preserve">” </w:t>
      </w:r>
      <w:r>
        <w:rPr>
          <w:rFonts w:ascii="Times New Roman;serif" w:hAnsi="Times New Roman;serif"/>
          <w:b w:val="false"/>
          <w:color w:val="000000"/>
          <w:sz w:val="24"/>
        </w:rPr>
        <w:t xml:space="preserve">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Times New Roman;serif" w:hAnsi="Times New Roman;serif"/>
          <w:b w:val="false"/>
          <w:color w:val="000000"/>
          <w:sz w:val="24"/>
          <w:u w:val="single"/>
        </w:rPr>
        <w:t>The Wall Street Journal</w:t>
      </w:r>
      <w:r>
        <w:rPr>
          <w:color w:val="000000"/>
        </w:rPr>
        <w:t xml:space="preserve"> </w:t>
      </w:r>
      <w:r>
        <w:rPr>
          <w:rFonts w:ascii="Times New Roman;serif" w:hAnsi="Times New Roman;serif"/>
          <w:b w:val="false"/>
          <w:color w:val="000000"/>
          <w:sz w:val="24"/>
        </w:rPr>
        <w:t>on the last business day preceding the first day of such calendar year, and as adjusted as of the last business day preceding the first day of each calendar year beginning thereafter.</w:t>
      </w:r>
    </w:p>
    <w:p>
      <w:pPr>
        <w:pStyle w:val="TextBody"/>
        <w:bidi w:val="0"/>
        <w:spacing w:lineRule="auto" w:line="240" w:before="0" w:after="240"/>
        <w:ind w:left="0" w:right="0" w:firstLine="1440"/>
        <w:jc w:val="left"/>
        <w:rPr/>
      </w:pPr>
      <w:r>
        <w:rPr>
          <w:rFonts w:ascii="Times New Roman;serif" w:hAnsi="Times New Roman;serif"/>
          <w:b w:val="false"/>
          <w:color w:val="000000"/>
          <w:sz w:val="24"/>
        </w:rPr>
        <w:t>2.43.</w:t>
      </w:r>
      <w:r>
        <w:rPr>
          <w:color w:val="000000"/>
        </w:rPr>
        <w:t>“</w:t>
      </w:r>
      <w:r>
        <w:rPr>
          <w:rFonts w:ascii="Times New Roman;serif" w:hAnsi="Times New Roman;serif"/>
          <w:b w:val="false"/>
          <w:color w:val="000000"/>
          <w:sz w:val="24"/>
          <w:u w:val="single"/>
        </w:rPr>
        <w:t>Prior Plan</w:t>
      </w:r>
      <w:r>
        <w:rPr>
          <w:color w:val="000000"/>
        </w:rPr>
        <w:t xml:space="preserve">” </w:t>
      </w:r>
      <w:r>
        <w:rPr>
          <w:rFonts w:ascii="Times New Roman;serif" w:hAnsi="Times New Roman;serif"/>
          <w:b w:val="false"/>
          <w:color w:val="000000"/>
          <w:sz w:val="24"/>
        </w:rPr>
        <w:t>means the Comcast Corporation 1996 Deferred Compensation Plan, as in effect immediately preceding the amendment, restatement and renaming of the Plan as the Comcast Corporation 2002 Deferred Compensation Plan.</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87680"/>
                <wp:effectExtent l="0" t="0" r="0" b="0"/>
                <wp:wrapNone/>
                <wp:docPr id="53" name="Frame52"/>
                <a:graphic xmlns:a="http://schemas.openxmlformats.org/drawingml/2006/main">
                  <a:graphicData uri="http://schemas.microsoft.com/office/word/2010/wordprocessingShape">
                    <wps:wsp>
                      <wps:cNvSpPr txBox="1"/>
                      <wps:spPr>
                        <a:xfrm>
                          <a:off x="0" y="0"/>
                          <a:ext cx="6480175" cy="487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4"/>
        </w:rPr>
        <w:t>2.44.</w:t>
      </w:r>
      <w:r>
        <w:rPr>
          <w:color w:val="000000"/>
        </w:rPr>
        <w:t>“</w:t>
      </w:r>
      <w:r>
        <w:rPr>
          <w:rFonts w:ascii="Times New Roman;serif" w:hAnsi="Times New Roman;serif"/>
          <w:b w:val="false"/>
          <w:color w:val="000000"/>
          <w:sz w:val="24"/>
          <w:u w:val="single"/>
        </w:rPr>
        <w:t>Retired Participant</w:t>
      </w:r>
      <w:r>
        <w:rPr>
          <w:color w:val="000000"/>
        </w:rPr>
        <w:t xml:space="preserve">” </w:t>
      </w:r>
      <w:r>
        <w:rPr>
          <w:rFonts w:ascii="Times New Roman;serif" w:hAnsi="Times New Roman;serif"/>
          <w:b w:val="false"/>
          <w:color w:val="000000"/>
          <w:sz w:val="24"/>
        </w:rPr>
        <w:t>means a Participant who has terminated service pursuant to a Normal Retirement.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2.45.</w:t>
      </w:r>
      <w:r>
        <w:rPr>
          <w:color w:val="000000"/>
        </w:rPr>
        <w:t>“</w:t>
      </w:r>
      <w:r>
        <w:rPr>
          <w:rFonts w:ascii="Times New Roman;serif" w:hAnsi="Times New Roman;serif"/>
          <w:b w:val="false"/>
          <w:color w:val="000000"/>
          <w:sz w:val="24"/>
          <w:u w:val="single"/>
        </w:rPr>
        <w:t>Severance Pay</w:t>
      </w:r>
      <w:r>
        <w:rPr>
          <w:color w:val="000000"/>
        </w:rPr>
        <w:t xml:space="preserve">” </w:t>
      </w:r>
      <w:r>
        <w:rPr>
          <w:rFonts w:ascii="Times New Roman;serif" w:hAnsi="Times New Roman;serif"/>
          <w:b w:val="false"/>
          <w:color w:val="000000"/>
          <w:sz w:val="24"/>
        </w:rPr>
        <w:t>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pStyle w:val="TextBody"/>
        <w:bidi w:val="0"/>
        <w:spacing w:lineRule="auto" w:line="240" w:before="0" w:after="240"/>
        <w:ind w:left="0" w:right="0" w:firstLine="1440"/>
        <w:jc w:val="left"/>
        <w:rPr/>
      </w:pPr>
      <w:r>
        <w:rPr>
          <w:rFonts w:ascii="Times New Roman;serif" w:hAnsi="Times New Roman;serif"/>
          <w:b w:val="false"/>
          <w:color w:val="000000"/>
          <w:sz w:val="24"/>
        </w:rPr>
        <w:t>2.46.</w:t>
      </w:r>
      <w:r>
        <w:rPr>
          <w:color w:val="000000"/>
        </w:rPr>
        <w:t>“</w:t>
      </w:r>
      <w:r>
        <w:rPr>
          <w:rFonts w:ascii="Times New Roman;serif" w:hAnsi="Times New Roman;serif"/>
          <w:b w:val="false"/>
          <w:color w:val="000000"/>
          <w:sz w:val="24"/>
          <w:u w:val="single"/>
        </w:rPr>
        <w:t>Subsequent Election</w:t>
      </w:r>
      <w:r>
        <w:rPr>
          <w:color w:val="000000"/>
        </w:rPr>
        <w:t xml:space="preserve">” </w:t>
      </w:r>
      <w:r>
        <w:rPr>
          <w:rFonts w:ascii="Times New Roman;serif" w:hAnsi="Times New Roman;serif"/>
          <w:b w:val="false"/>
          <w:color w:val="000000"/>
          <w:sz w:val="24"/>
        </w:rPr>
        <w:t>means a written election on a form provided by the Administrator, filed with the Administrator in accordance with Article 3, pursuant to which a Participant or Beneficiary may elect to defer (or, in limited cases, accelerate) the time of payment or to change the manner of payment of amounts previously deferred in accordance with the terms of a previously made Initial Election or Subsequent Election.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2.47.</w:t>
      </w:r>
      <w:r>
        <w:rPr>
          <w:color w:val="000000"/>
        </w:rPr>
        <w:t>“</w:t>
      </w:r>
      <w:r>
        <w:rPr>
          <w:rFonts w:ascii="Times New Roman;serif" w:hAnsi="Times New Roman;serif"/>
          <w:b w:val="false"/>
          <w:color w:val="000000"/>
          <w:sz w:val="24"/>
          <w:u w:val="single"/>
        </w:rPr>
        <w:t>Surviving Spouse</w:t>
      </w:r>
      <w:r>
        <w:rPr>
          <w:color w:val="000000"/>
        </w:rPr>
        <w:t xml:space="preserve">” </w:t>
      </w:r>
      <w:r>
        <w:rPr>
          <w:rFonts w:ascii="Times New Roman;serif" w:hAnsi="Times New Roman;serif"/>
          <w:b w:val="false"/>
          <w:color w:val="000000"/>
          <w:sz w:val="24"/>
        </w:rPr>
        <w:t>means the widow or widower, as the case may be, of a Deceased Participant or a Deceased Beneficiary (as applicable).</w:t>
      </w:r>
    </w:p>
    <w:p>
      <w:pPr>
        <w:pStyle w:val="TextBody"/>
        <w:bidi w:val="0"/>
        <w:spacing w:lineRule="auto" w:line="240" w:before="0" w:after="240"/>
        <w:ind w:left="0" w:right="0" w:firstLine="1440"/>
        <w:jc w:val="left"/>
        <w:rPr/>
      </w:pPr>
      <w:r>
        <w:rPr>
          <w:rFonts w:ascii="Times New Roman;serif" w:hAnsi="Times New Roman;serif"/>
          <w:b w:val="false"/>
          <w:color w:val="000000"/>
          <w:sz w:val="24"/>
        </w:rPr>
        <w:t>2.48.</w:t>
      </w:r>
      <w:r>
        <w:rPr>
          <w:color w:val="000000"/>
        </w:rPr>
        <w:t>“</w:t>
      </w:r>
      <w:r>
        <w:rPr>
          <w:rFonts w:ascii="Times New Roman;serif" w:hAnsi="Times New Roman;serif"/>
          <w:b w:val="false"/>
          <w:color w:val="000000"/>
          <w:sz w:val="24"/>
          <w:u w:val="single"/>
        </w:rPr>
        <w:t>Terminating Event</w:t>
      </w:r>
      <w:r>
        <w:rPr>
          <w:color w:val="000000"/>
        </w:rPr>
        <w:t xml:space="preserve">” </w:t>
      </w:r>
      <w:r>
        <w:rPr>
          <w:rFonts w:ascii="Times New Roman;serif" w:hAnsi="Times New Roman;serif"/>
          <w:b w:val="false"/>
          <w:color w:val="000000"/>
          <w:sz w:val="24"/>
        </w:rPr>
        <w:t>means either of the following events:</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the liquidation of the Company; or</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a Change of Control.</w:t>
      </w:r>
    </w:p>
    <w:p>
      <w:pPr>
        <w:pStyle w:val="TextBody"/>
        <w:bidi w:val="0"/>
        <w:spacing w:lineRule="auto" w:line="240" w:before="0" w:after="240"/>
        <w:ind w:left="0" w:right="0" w:firstLine="1440"/>
        <w:jc w:val="left"/>
        <w:rPr/>
      </w:pPr>
      <w:r>
        <w:rPr>
          <w:rFonts w:ascii="Times New Roman;serif" w:hAnsi="Times New Roman;serif"/>
          <w:b w:val="false"/>
          <w:color w:val="000000"/>
          <w:sz w:val="24"/>
        </w:rPr>
        <w:t>2.49.</w:t>
      </w:r>
      <w:r>
        <w:rPr>
          <w:color w:val="000000"/>
        </w:rPr>
        <w:t>“</w:t>
      </w:r>
      <w:r>
        <w:rPr>
          <w:rFonts w:ascii="Times New Roman;serif" w:hAnsi="Times New Roman;serif"/>
          <w:b w:val="false"/>
          <w:color w:val="000000"/>
          <w:sz w:val="24"/>
          <w:u w:val="single"/>
        </w:rPr>
        <w:t>Third Party</w:t>
      </w:r>
      <w:r>
        <w:rPr>
          <w:color w:val="000000"/>
        </w:rPr>
        <w:t xml:space="preserve">” </w:t>
      </w:r>
      <w:r>
        <w:rPr>
          <w:rFonts w:ascii="Times New Roman;serif" w:hAnsi="Times New Roman;serif"/>
          <w:b w:val="false"/>
          <w:color w:val="000000"/>
          <w:sz w:val="24"/>
        </w:rPr>
        <w:t xml:space="preserve">means any Person, together with such Person’s Affiliates;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term “Third Party” shall not include the Company or an Affiliate of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4"/>
        </w:rPr>
        <w:t>2.50.</w:t>
      </w:r>
      <w:r>
        <w:rPr>
          <w:color w:val="000000"/>
        </w:rPr>
        <w:t>“</w:t>
      </w:r>
      <w:r>
        <w:rPr>
          <w:rFonts w:ascii="Times New Roman;serif" w:hAnsi="Times New Roman;serif"/>
          <w:b w:val="false"/>
          <w:color w:val="000000"/>
          <w:sz w:val="24"/>
          <w:u w:val="single"/>
        </w:rPr>
        <w:t>2005 DC Plan</w:t>
      </w:r>
      <w:r>
        <w:rPr>
          <w:color w:val="000000"/>
        </w:rPr>
        <w:t xml:space="preserve">” </w:t>
      </w:r>
      <w:r>
        <w:rPr>
          <w:rFonts w:ascii="Times New Roman;serif" w:hAnsi="Times New Roman;serif"/>
          <w:b w:val="false"/>
          <w:color w:val="000000"/>
          <w:sz w:val="24"/>
        </w:rPr>
        <w:t>means the Comcast Corporation 2005 Deferred Compensation Plan, as may be amended or amended and restated from time to time.</w:t>
      </w:r>
    </w:p>
    <w:p>
      <w:pPr>
        <w:pStyle w:val="TextBody"/>
        <w:bidi w:val="0"/>
        <w:spacing w:lineRule="auto" w:line="240" w:before="0" w:after="240"/>
        <w:ind w:left="0" w:right="0" w:firstLine="1440"/>
        <w:jc w:val="left"/>
        <w:rPr/>
      </w:pPr>
      <w:r>
        <w:rPr>
          <w:rFonts w:ascii="Times New Roman;serif" w:hAnsi="Times New Roman;serif"/>
          <w:b w:val="false"/>
          <w:color w:val="000000"/>
          <w:sz w:val="24"/>
        </w:rPr>
        <w:t>2.51.</w:t>
      </w:r>
      <w:r>
        <w:rPr>
          <w:color w:val="000000"/>
        </w:rPr>
        <w:t>“</w:t>
      </w:r>
      <w:r>
        <w:rPr>
          <w:rFonts w:ascii="Times New Roman;serif" w:hAnsi="Times New Roman;serif"/>
          <w:b w:val="false"/>
          <w:color w:val="000000"/>
          <w:sz w:val="24"/>
          <w:u w:val="single"/>
        </w:rPr>
        <w:t>2027 DC Plan</w:t>
      </w:r>
      <w:r>
        <w:rPr>
          <w:color w:val="000000"/>
        </w:rPr>
        <w:t xml:space="preserve">” </w:t>
      </w:r>
      <w:r>
        <w:rPr>
          <w:rFonts w:ascii="Times New Roman;serif" w:hAnsi="Times New Roman;serif"/>
          <w:b w:val="false"/>
          <w:color w:val="000000"/>
          <w:sz w:val="24"/>
        </w:rPr>
        <w:t>means the Comcast Corporation 2027 Deferred Compensation Plan, as may be amended or amended and restated from time to time.</w:t>
      </w:r>
    </w:p>
    <w:p>
      <w:pPr>
        <w:pStyle w:val="TextBody"/>
        <w:bidi w:val="0"/>
        <w:spacing w:lineRule="auto" w:line="240" w:before="0" w:after="240"/>
        <w:jc w:val="center"/>
        <w:rPr/>
      </w:pPr>
      <w:r>
        <w:rPr>
          <w:rFonts w:ascii="Times New Roman;serif" w:hAnsi="Times New Roman;serif"/>
          <w:b/>
          <w:color w:val="000000"/>
          <w:sz w:val="24"/>
        </w:rPr>
        <w:t>ARTICLE 3</w:t>
      </w:r>
      <w:r>
        <w:rPr>
          <w:color w:val="000000"/>
        </w:rPr>
        <w:t xml:space="preserve"> – </w:t>
      </w:r>
      <w:r>
        <w:rPr>
          <w:rFonts w:ascii="Times New Roman;serif" w:hAnsi="Times New Roman;serif"/>
          <w:b w:val="false"/>
          <w:color w:val="000000"/>
          <w:sz w:val="24"/>
        </w:rPr>
        <w:t>INITIAL AND SUBSEQUENT ELECTIONS</w:t>
      </w:r>
    </w:p>
    <w:p>
      <w:pPr>
        <w:pStyle w:val="TextBody"/>
        <w:bidi w:val="0"/>
        <w:spacing w:lineRule="auto" w:line="240" w:before="0" w:after="240"/>
        <w:ind w:left="0" w:right="0" w:firstLine="1440"/>
        <w:jc w:val="left"/>
        <w:rPr/>
      </w:pPr>
      <w:r>
        <w:rPr>
          <w:rFonts w:ascii="Times New Roman;serif" w:hAnsi="Times New Roman;serif"/>
          <w:b w:val="false"/>
          <w:color w:val="000000"/>
          <w:sz w:val="24"/>
        </w:rPr>
        <w:t>3.1.</w:t>
      </w:r>
      <w:r>
        <w:rPr>
          <w:rFonts w:ascii="Times New Roman;serif" w:hAnsi="Times New Roman;serif"/>
          <w:b w:val="false"/>
          <w:color w:val="000000"/>
          <w:sz w:val="24"/>
          <w:u w:val="single"/>
        </w:rPr>
        <w:t>Elections</w:t>
      </w:r>
      <w:r>
        <w:rPr>
          <w:rFonts w:ascii="Times New Roman;serif" w:hAnsi="Times New Roman;serif"/>
          <w:b w:val="false"/>
          <w:color w:val="000000"/>
          <w:sz w:val="24"/>
        </w:rPr>
        <w:t>.</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Initial Elections</w:t>
      </w:r>
      <w:r>
        <w:rPr>
          <w:rFonts w:ascii="Times New Roman;serif" w:hAnsi="Times New Roman;serif"/>
          <w:b w:val="false"/>
          <w:color w:val="000000"/>
          <w:sz w:val="24"/>
        </w:rPr>
        <w:t xml:space="preserve">. Each Outside Director and Eligible Employee shall have the right to defer all or any portion of the Compensation (including bonuses, if any, and, in the case of Outside Directors, including any portion of an Outside Director’s Compensation payable in the form of Company Stock) that he would otherwise be entitled to receive in a calendar year by filing an Initial Election at the time and in the manner described in this Article 3;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Severance Pay shall be included as “Compensation” for purposes of this Section 3.1 only to the extent permitted, and subject to such rules regarding the length of any initial deferral period and subsequent deferral period, if any, established by the Administrator in its sole discretion. The Compensation of such Outside Director or Eligible Employee for a calendar year shall be reduced in an amount equal to the portion of the Compensation deferred by such Outside Director or Eligible Employee for such calendar year pursuant to such Outside Director’s or Eligible Employee’s Initial Election. Such reduction shall be effected on a pro rata basis from each periodic installment payment of such Outside Director’s or Eligible Employee’s Compensation for the calendar year (in accordance with the general pay practices of the Participating Company), and credited, as a bookkeeping entry, to such Outside Director’s or Eligible Employee’s Account in accordance with Section 5.1. Amounts credited to the Accounts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87680"/>
                <wp:effectExtent l="0" t="0" r="0" b="0"/>
                <wp:wrapNone/>
                <wp:docPr id="54" name="Frame53"/>
                <a:graphic xmlns:a="http://schemas.openxmlformats.org/drawingml/2006/main">
                  <a:graphicData uri="http://schemas.microsoft.com/office/word/2010/wordprocessingShape">
                    <wps:wsp>
                      <wps:cNvSpPr txBox="1"/>
                      <wps:spPr>
                        <a:xfrm>
                          <a:off x="0" y="0"/>
                          <a:ext cx="6480175" cy="487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of Outside Directors in the form of Company Stock shall be credited to the Company Stock Fund and credited with income, gains and losses in accordance with Section 5.2(c).</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Subsequent Elections</w:t>
      </w:r>
      <w:r>
        <w:rPr>
          <w:rFonts w:ascii="Times New Roman;serif" w:hAnsi="Times New Roman;serif"/>
          <w:b w:val="false"/>
          <w:color w:val="000000"/>
          <w:sz w:val="24"/>
        </w:rPr>
        <w:t>. Each Participant or Beneficiary shall have the right to elect to defer (or, in limited cases, accelerate) the time of payment or to change the manner of payment of amounts previously deferred in accordance with the terms of a previously made Initial Election pursuant to the terms of the Plan, and subject to any applicable limitations or restrictions as may be established by the Administrator from time to time, by filing a Subsequent Election at the time, to the extent, and in the manner described in this Article 3.</w:t>
      </w:r>
    </w:p>
    <w:p>
      <w:pPr>
        <w:pStyle w:val="TextBody"/>
        <w:bidi w:val="0"/>
        <w:spacing w:lineRule="auto" w:line="240" w:before="0" w:after="240"/>
        <w:ind w:left="0" w:right="0" w:firstLine="1440"/>
        <w:jc w:val="left"/>
        <w:rPr/>
      </w:pPr>
      <w:r>
        <w:rPr>
          <w:rFonts w:ascii="Times New Roman;serif" w:hAnsi="Times New Roman;serif"/>
          <w:b w:val="false"/>
          <w:color w:val="000000"/>
          <w:sz w:val="24"/>
        </w:rPr>
        <w:t>3.2.</w:t>
      </w:r>
      <w:r>
        <w:rPr>
          <w:rFonts w:ascii="Times New Roman;serif" w:hAnsi="Times New Roman;serif"/>
          <w:b w:val="false"/>
          <w:color w:val="000000"/>
          <w:sz w:val="24"/>
          <w:u w:val="single"/>
        </w:rPr>
        <w:t>Filing of Initial Election: General</w:t>
      </w:r>
      <w:r>
        <w:rPr>
          <w:rFonts w:ascii="Times New Roman;serif" w:hAnsi="Times New Roman;serif"/>
          <w:b w:val="false"/>
          <w:color w:val="000000"/>
          <w:sz w:val="24"/>
        </w:rPr>
        <w:t xml:space="preserve">. An Initial Election shall be made on the form provided by the Administrator for this purpose. Except as provided in Section 3.3, no such Initial Election shall be effective unless it is filed with the Administrator on or before December 31 of the calendar year preceding the calendar year to which the Initial Election applies;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an Initial Election with respect to Severance Pay shall not be effective unless it is filed within 30 days following the date of written notification to an Eligible Employee from the Administrator or its duly authorized delegate of such Eligible Employee’s eligibility to defer Severance Pay.</w:t>
      </w:r>
    </w:p>
    <w:p>
      <w:pPr>
        <w:pStyle w:val="TextBody"/>
        <w:bidi w:val="0"/>
        <w:spacing w:lineRule="auto" w:line="240" w:before="0" w:after="240"/>
        <w:ind w:left="0" w:right="0" w:firstLine="1440"/>
        <w:jc w:val="left"/>
        <w:rPr/>
      </w:pPr>
      <w:r>
        <w:rPr>
          <w:rFonts w:ascii="Times New Roman;serif" w:hAnsi="Times New Roman;serif"/>
          <w:b w:val="false"/>
          <w:color w:val="000000"/>
          <w:sz w:val="24"/>
        </w:rPr>
        <w:t>3.3.</w:t>
      </w:r>
      <w:r>
        <w:rPr>
          <w:rFonts w:ascii="Times New Roman;serif" w:hAnsi="Times New Roman;serif"/>
          <w:b w:val="false"/>
          <w:color w:val="000000"/>
          <w:sz w:val="24"/>
          <w:u w:val="single"/>
        </w:rPr>
        <w:t>Filing of Initial Election by New Key Employees and New Outside Directors</w:t>
      </w:r>
      <w:r>
        <w:rPr>
          <w:rFonts w:ascii="Times New Roman;serif" w:hAnsi="Times New Roman;serif"/>
          <w:b w:val="false"/>
          <w:color w:val="000000"/>
          <w:sz w:val="24"/>
        </w:rPr>
        <w:t xml:space="preserve">. </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New Key Employees</w:t>
      </w:r>
      <w:r>
        <w:rPr>
          <w:rFonts w:ascii="Times New Roman;serif" w:hAnsi="Times New Roman;serif"/>
          <w:b w:val="false"/>
          <w:color w:val="000000"/>
          <w:sz w:val="24"/>
        </w:rPr>
        <w:t>. Notwithstanding Section 3.1 and Section 3.2, a New Key Employee may elect to defer all or any portion of his Compensation that he would otherwise be entitled to receive in the calendar year in which the New Key Employee was employed, beginning with the payroll period next following the filing of an Initial Election with the Administrator and before the close of such calendar year by making and filing the Initial Election with the Administrator within 60 days of such New Key Employee’s date of hire or within 60 days of the date such New Key Employee first becomes eligible to participate in the Plan. Any Initial Election by such New Key Employee for succeeding calendar years shall be made in accordance with Section 3.1 and Section 3.2.</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New Outside Directors</w:t>
      </w:r>
      <w:r>
        <w:rPr>
          <w:rFonts w:ascii="Times New Roman;serif" w:hAnsi="Times New Roman;serif"/>
          <w:b w:val="false"/>
          <w:color w:val="000000"/>
          <w:sz w:val="24"/>
        </w:rPr>
        <w:t>. Notwithstanding Section 3.1 and Section 3.2, an Outside Director may elect to defer all or any portion of his Compensation that he would otherwise be entitled to receive in the calendar year in which an Outside Director’s election as a member of the Board becomes effective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Outside Director is not a member of the Board immediately preceding such effective date), beginning with Compensation payable following the filing of an Initial Election with the Administrator and before the close of such calendar year by making and filing the Initial Election with the Administrator within 60 days of the effective date of such Outside Director’s election. Any Initial Election by such Outside Director for succeeding calendar years shall be made in accordance with Section 3.1 and Section 3.2.</w:t>
      </w:r>
    </w:p>
    <w:p>
      <w:pPr>
        <w:pStyle w:val="TextBody"/>
        <w:bidi w:val="0"/>
        <w:spacing w:lineRule="auto" w:line="240" w:before="0" w:after="240"/>
        <w:ind w:left="0" w:right="0" w:firstLine="1440"/>
        <w:jc w:val="left"/>
        <w:rPr/>
      </w:pPr>
      <w:r>
        <w:rPr>
          <w:rFonts w:ascii="Times New Roman;serif" w:hAnsi="Times New Roman;serif"/>
          <w:b w:val="false"/>
          <w:color w:val="000000"/>
          <w:sz w:val="24"/>
        </w:rPr>
        <w:t>3.4.</w:t>
      </w:r>
      <w:r>
        <w:rPr>
          <w:rFonts w:ascii="Times New Roman;serif" w:hAnsi="Times New Roman;serif"/>
          <w:b w:val="false"/>
          <w:color w:val="000000"/>
          <w:sz w:val="24"/>
          <w:u w:val="single"/>
        </w:rPr>
        <w:t>Calendar Years to Which Initial Election May Apply</w:t>
      </w:r>
      <w:r>
        <w:rPr>
          <w:rFonts w:ascii="Times New Roman;serif" w:hAnsi="Times New Roman;serif"/>
          <w:b w:val="false"/>
          <w:color w:val="000000"/>
          <w:sz w:val="24"/>
        </w:rPr>
        <w:t>. A separate Initial Election may be made for each calendar year as to which an Outside Director or Eligible Employee desires to defer all or any portion of such Outside Director’s or Eligible Employee’s Compensation. The failure of an Outside Director or Eligible Employee to make an Initial Election for any calendar year shall not affect such Outside Director’s or Eligible Employee’s right to make an Initial Election for any other calendar year.</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Initial Election of Distribution Date</w:t>
      </w:r>
      <w:r>
        <w:rPr>
          <w:rFonts w:ascii="Times New Roman;serif" w:hAnsi="Times New Roman;serif"/>
          <w:b w:val="false"/>
          <w:color w:val="000000"/>
          <w:sz w:val="24"/>
        </w:rPr>
        <w:t xml:space="preserve">. Each Outside Director or Eligible Employee shall, contemporaneously with an Initial Election, also elect the time of payment of the amount of the deferred Compensation to which such Initial Election relates;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subject to acceleration pursuant to Section 3.5(e) or (f), Section 3.7,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87680"/>
                <wp:effectExtent l="0" t="0" r="0" b="0"/>
                <wp:wrapNone/>
                <wp:docPr id="55" name="Frame54"/>
                <a:graphic xmlns:a="http://schemas.openxmlformats.org/drawingml/2006/main">
                  <a:graphicData uri="http://schemas.microsoft.com/office/word/2010/wordprocessingShape">
                    <wps:wsp>
                      <wps:cNvSpPr txBox="1"/>
                      <wps:spPr>
                        <a:xfrm>
                          <a:off x="0" y="0"/>
                          <a:ext cx="6480175" cy="487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Section 7.1, Section 7.2, or Article 8, no distribution may commence earlier than January 2nd of the second calendar year beginning after the date the Initial Election is filed with the Administrator, nor later than January 2nd of the eleventh calendar year beginning after the date the Initial Election is filed with the Administrator. Further, each Outside Director or Eligible Employee may select with each Initial Election the manner of distribution in accordance with Article 4.</w:t>
      </w:r>
    </w:p>
    <w:p>
      <w:pPr>
        <w:pStyle w:val="TextBody"/>
        <w:bidi w:val="0"/>
        <w:spacing w:lineRule="auto" w:line="240" w:before="0" w:after="240"/>
        <w:ind w:left="0" w:right="0" w:firstLine="1440"/>
        <w:jc w:val="left"/>
        <w:rPr/>
      </w:pPr>
      <w:r>
        <w:rPr>
          <w:rFonts w:ascii="Times New Roman;serif" w:hAnsi="Times New Roman;serif"/>
          <w:b w:val="false"/>
          <w:color w:val="000000"/>
          <w:sz w:val="24"/>
        </w:rPr>
        <w:t>3.5.</w:t>
      </w:r>
      <w:r>
        <w:rPr>
          <w:rFonts w:ascii="Times New Roman;serif" w:hAnsi="Times New Roman;serif"/>
          <w:b w:val="false"/>
          <w:color w:val="000000"/>
          <w:sz w:val="24"/>
          <w:u w:val="single"/>
        </w:rPr>
        <w:t>Subsequent Elections</w:t>
      </w:r>
      <w:r>
        <w:rPr>
          <w:rFonts w:ascii="Times New Roman;serif" w:hAnsi="Times New Roman;serif"/>
          <w:b w:val="false"/>
          <w:color w:val="000000"/>
          <w:sz w:val="24"/>
        </w:rPr>
        <w:t>.</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Active Participants</w:t>
      </w:r>
      <w:r>
        <w:rPr>
          <w:rFonts w:ascii="Times New Roman;serif" w:hAnsi="Times New Roman;serif"/>
          <w:b w:val="false"/>
          <w:color w:val="000000"/>
          <w:sz w:val="24"/>
        </w:rPr>
        <w:t>. Each Active Participant, who has made an Initial Election, or who has made a Subsequent Election, may elect to change the manner of distribution or defer the time of payment of any part or all of such Participant’s Account—</w:t>
      </w:r>
    </w:p>
    <w:p>
      <w:pPr>
        <w:pStyle w:val="TextBody"/>
        <w:bidi w:val="0"/>
        <w:spacing w:lineRule="auto" w:line="240" w:before="0" w:after="240"/>
        <w:ind w:left="0" w:right="0" w:firstLine="2880"/>
        <w:jc w:val="left"/>
        <w:rPr/>
      </w:pPr>
      <w:r>
        <w:rPr>
          <w:rFonts w:ascii="Times New Roman;serif" w:hAnsi="Times New Roman;serif"/>
          <w:b w:val="false"/>
          <w:color w:val="000000"/>
          <w:sz w:val="24"/>
        </w:rPr>
        <w:t>(i)</w:t>
      </w:r>
      <w:r>
        <w:rPr>
          <w:rFonts w:ascii="Times New Roman;serif" w:hAnsi="Times New Roman;serif"/>
          <w:b w:val="false"/>
          <w:color w:val="000000"/>
          <w:sz w:val="24"/>
        </w:rPr>
        <w:t>With respect to Subsequent Elections filed on or before December 31, 2020, for a minimum of two (2) and a maximum of ten (10) additional years from the previously-elected payment date;</w:t>
      </w:r>
    </w:p>
    <w:p>
      <w:pPr>
        <w:pStyle w:val="TextBody"/>
        <w:bidi w:val="0"/>
        <w:spacing w:lineRule="auto" w:line="240" w:before="0" w:after="240"/>
        <w:ind w:left="0" w:right="0" w:firstLine="2880"/>
        <w:jc w:val="left"/>
        <w:rPr/>
      </w:pPr>
      <w:r>
        <w:rPr>
          <w:rFonts w:ascii="Times New Roman;serif" w:hAnsi="Times New Roman;serif"/>
          <w:b w:val="false"/>
          <w:color w:val="000000"/>
          <w:sz w:val="24"/>
        </w:rPr>
        <w:t>(ii)</w:t>
      </w:r>
      <w:r>
        <w:rPr>
          <w:rFonts w:ascii="Times New Roman;serif" w:hAnsi="Times New Roman;serif"/>
          <w:b w:val="false"/>
          <w:color w:val="000000"/>
          <w:sz w:val="24"/>
        </w:rPr>
        <w:t>With respect to Subsequent Elections filed after December 31, 2020 but before the Restatement Effective Date, for a minimum of two (2) and a maximum of seven (7) additional years from the previously-elected payment date; and</w:t>
      </w:r>
    </w:p>
    <w:p>
      <w:pPr>
        <w:pStyle w:val="TextBody"/>
        <w:bidi w:val="0"/>
        <w:spacing w:lineRule="auto" w:line="240" w:before="0" w:after="240"/>
        <w:ind w:left="0" w:right="0" w:firstLine="2880"/>
        <w:jc w:val="left"/>
        <w:rPr/>
      </w:pPr>
      <w:r>
        <w:rPr>
          <w:rFonts w:ascii="Times New Roman;serif" w:hAnsi="Times New Roman;serif"/>
          <w:b w:val="false"/>
          <w:color w:val="000000"/>
          <w:sz w:val="24"/>
        </w:rPr>
        <w:t>(iii)</w:t>
      </w:r>
      <w:r>
        <w:rPr>
          <w:rFonts w:ascii="Times New Roman;serif" w:hAnsi="Times New Roman;serif"/>
          <w:b w:val="false"/>
          <w:color w:val="000000"/>
          <w:sz w:val="24"/>
        </w:rPr>
        <w:t>With respect to Subsequent Elections filed on or after the Restatement Effective Date, for a minimum of two (2) and a maximum of five (5) additional years from the previously-elected payment date;</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3.5(a) shall not be limited.</w:t>
      </w:r>
    </w:p>
    <w:p>
      <w:pPr>
        <w:pStyle w:val="TextBody"/>
        <w:bidi w:val="0"/>
        <w:spacing w:before="0" w:after="0"/>
        <w:jc w:val="left"/>
        <w:rPr/>
      </w:pPr>
      <w:r>
        <w:rPr/>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Inactive Participants</w:t>
      </w:r>
      <w:r>
        <w:rPr>
          <w:rFonts w:ascii="Times New Roman;serif" w:hAnsi="Times New Roman;serif"/>
          <w:b w:val="false"/>
          <w:color w:val="000000"/>
          <w:sz w:val="24"/>
        </w:rPr>
        <w:t>. The Committee may, in its sole and absolute discretion, permit an Inactive Participant to make a Subsequent Election to change the manner of distribution, or defer the time of payment of any part or all of such Inactive Participant’s Account—</w:t>
      </w:r>
    </w:p>
    <w:p>
      <w:pPr>
        <w:pStyle w:val="TextBody"/>
        <w:bidi w:val="0"/>
        <w:spacing w:lineRule="auto" w:line="240" w:before="0" w:after="240"/>
        <w:ind w:left="0" w:right="0" w:firstLine="2880"/>
        <w:jc w:val="left"/>
        <w:rPr/>
      </w:pPr>
      <w:r>
        <w:rPr>
          <w:rFonts w:ascii="Times New Roman;serif" w:hAnsi="Times New Roman;serif"/>
          <w:b w:val="false"/>
          <w:color w:val="000000"/>
          <w:sz w:val="24"/>
        </w:rPr>
        <w:t>(i)</w:t>
      </w:r>
      <w:r>
        <w:rPr>
          <w:rFonts w:ascii="Times New Roman;serif" w:hAnsi="Times New Roman;serif"/>
          <w:b w:val="false"/>
          <w:color w:val="000000"/>
          <w:sz w:val="24"/>
        </w:rPr>
        <w:t>With respect to Subsequent Elections filed on or before December 31, 2020, for a minimum of two (2) and a maximum of ten (10) additional years from the previously-elected payment date;</w:t>
      </w:r>
    </w:p>
    <w:p>
      <w:pPr>
        <w:pStyle w:val="TextBody"/>
        <w:bidi w:val="0"/>
        <w:spacing w:lineRule="auto" w:line="240" w:before="0" w:after="240"/>
        <w:ind w:left="0" w:right="0" w:firstLine="2880"/>
        <w:jc w:val="left"/>
        <w:rPr/>
      </w:pPr>
      <w:r>
        <w:rPr>
          <w:rFonts w:ascii="Times New Roman;serif" w:hAnsi="Times New Roman;serif"/>
          <w:b w:val="false"/>
          <w:color w:val="000000"/>
          <w:sz w:val="24"/>
        </w:rPr>
        <w:t>(ii)</w:t>
      </w:r>
      <w:r>
        <w:rPr>
          <w:rFonts w:ascii="Times New Roman;serif" w:hAnsi="Times New Roman;serif"/>
          <w:b w:val="false"/>
          <w:color w:val="000000"/>
          <w:sz w:val="24"/>
        </w:rPr>
        <w:t>With respect to Subsequent Elections filed after December 31, 2020 but before the Restatement Effective Date, for a minimum of two (2) and a maximum of seven (7) additional years from the previously-elected payment date; and</w:t>
      </w:r>
    </w:p>
    <w:p>
      <w:pPr>
        <w:pStyle w:val="TextBody"/>
        <w:bidi w:val="0"/>
        <w:spacing w:lineRule="auto" w:line="240" w:before="0" w:after="240"/>
        <w:ind w:left="0" w:right="0" w:firstLine="2880"/>
        <w:jc w:val="left"/>
        <w:rPr/>
      </w:pPr>
      <w:r>
        <w:rPr>
          <w:rFonts w:ascii="Times New Roman;serif" w:hAnsi="Times New Roman;serif"/>
          <w:b w:val="false"/>
          <w:color w:val="000000"/>
          <w:sz w:val="24"/>
        </w:rPr>
        <w:t>(iii)</w:t>
      </w:r>
      <w:r>
        <w:rPr>
          <w:rFonts w:ascii="Times New Roman;serif" w:hAnsi="Times New Roman;serif"/>
          <w:b w:val="false"/>
          <w:color w:val="000000"/>
          <w:sz w:val="24"/>
        </w:rPr>
        <w:t xml:space="preserve">With respect to Subsequent Elections filed on or after the Restatement Effective Date, for a minimum of two (2) and a maximum of five (5) additional years from the previously-elected payment date; </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3.5(b) shall be determined by the Committee in its sole and absolute discretion.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87680"/>
                <wp:effectExtent l="0" t="0" r="0" b="0"/>
                <wp:wrapNone/>
                <wp:docPr id="56" name="Frame55"/>
                <a:graphic xmlns:a="http://schemas.openxmlformats.org/drawingml/2006/main">
                  <a:graphicData uri="http://schemas.microsoft.com/office/word/2010/wordprocessingShape">
                    <wps:wsp>
                      <wps:cNvSpPr txBox="1"/>
                      <wps:spPr>
                        <a:xfrm>
                          <a:off x="0" y="0"/>
                          <a:ext cx="6480175" cy="487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v:textbox>
                <w10:wrap type="none"/>
              </v:rect>
            </w:pict>
          </mc:Fallback>
        </mc:AlternateContent>
      </w:r>
    </w:p>
    <w:p>
      <w:pPr>
        <w:pStyle w:val="TextBody"/>
        <w:bidi w:val="0"/>
        <w:spacing w:lineRule="auto" w:line="240" w:before="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Surviving Spouses</w:t>
      </w:r>
      <w:r>
        <w:rPr>
          <w:rFonts w:ascii="Times New Roman;serif" w:hAnsi="Times New Roman;serif"/>
          <w:b w:val="false"/>
          <w:color w:val="000000"/>
          <w:sz w:val="24"/>
        </w:rPr>
        <w:t>.</w:t>
      </w:r>
    </w:p>
    <w:p>
      <w:pPr>
        <w:pStyle w:val="TextBody"/>
        <w:bidi w:val="0"/>
        <w:spacing w:lineRule="auto" w:line="240" w:before="0" w:after="240"/>
        <w:ind w:left="0" w:right="0" w:firstLine="2880"/>
        <w:jc w:val="left"/>
        <w:rPr/>
      </w:pPr>
      <w:r>
        <w:rPr>
          <w:rFonts w:ascii="Times New Roman;serif" w:hAnsi="Times New Roman;serif"/>
          <w:b w:val="false"/>
          <w:color w:val="000000"/>
          <w:sz w:val="24"/>
        </w:rPr>
        <w:t>(i)</w:t>
      </w:r>
      <w:r>
        <w:rPr>
          <w:rFonts w:ascii="Times New Roman;serif" w:hAnsi="Times New Roman;serif"/>
          <w:b w:val="false"/>
          <w:color w:val="000000"/>
          <w:sz w:val="24"/>
          <w:u w:val="single"/>
        </w:rPr>
        <w:t>General Rule</w:t>
      </w:r>
      <w:r>
        <w:rPr>
          <w:rFonts w:ascii="Times New Roman;serif" w:hAnsi="Times New Roman;serif"/>
          <w:b w:val="false"/>
          <w:color w:val="000000"/>
          <w:sz w:val="24"/>
        </w:rPr>
        <w:t>. A Surviving Spouse who is a Deceased Participant’s Beneficiary may elect to change the manner of distribution, or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Surviving Spouse shall specify the change in the manner of distribution or the change in the time of payment, which--</w:t>
      </w:r>
    </w:p>
    <w:p>
      <w:pPr>
        <w:pStyle w:val="TextBody"/>
        <w:bidi w:val="0"/>
        <w:spacing w:lineRule="auto" w:line="240" w:before="0" w:after="240"/>
        <w:ind w:left="0" w:right="0" w:firstLine="4320"/>
        <w:jc w:val="left"/>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With respect to Subsequent Elections filed on or before December 31, 2020, shall be for a minimum of two (2) and a maximum of ten (10) additional years from the previously-elected payment date;</w:t>
      </w:r>
    </w:p>
    <w:p>
      <w:pPr>
        <w:pStyle w:val="TextBody"/>
        <w:bidi w:val="0"/>
        <w:spacing w:lineRule="auto" w:line="240" w:before="0" w:after="240"/>
        <w:ind w:left="0" w:right="0" w:firstLine="4320"/>
        <w:jc w:val="left"/>
        <w:rPr/>
      </w:pP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With respect to Subsequent Elections filed after December 31, 2020 but before the Restatement Effective Date, shall be for a minimum of two (2) and a maximum of seven (7) additional years from the previously-elected payment date; and</w:t>
      </w:r>
    </w:p>
    <w:p>
      <w:pPr>
        <w:pStyle w:val="TextBody"/>
        <w:bidi w:val="0"/>
        <w:spacing w:lineRule="auto" w:line="240" w:before="0" w:after="240"/>
        <w:ind w:left="0" w:right="0" w:firstLine="4320"/>
        <w:jc w:val="left"/>
        <w:rPr/>
      </w:pPr>
      <w:r>
        <w:rPr>
          <w:rFonts w:ascii="Times New Roman;serif" w:hAnsi="Times New Roman;serif"/>
          <w:b w:val="false"/>
          <w:color w:val="000000"/>
          <w:sz w:val="24"/>
        </w:rPr>
        <w:t>(C)</w:t>
      </w:r>
      <w:r>
        <w:rPr>
          <w:color w:val="000000"/>
        </w:rPr>
        <w:t>    </w:t>
      </w:r>
      <w:r>
        <w:rPr>
          <w:rFonts w:ascii="Times New Roman;serif" w:hAnsi="Times New Roman;serif"/>
          <w:b w:val="false"/>
          <w:color w:val="000000"/>
          <w:sz w:val="24"/>
        </w:rPr>
        <w:t xml:space="preserve">With respect to Subsequent Elections filed on or before December 31, 2020, such Surviving Spouse may elect to defer payment until such Surviving Spouse’s death. </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 Surviving Spouse may make a total of two (2) Subsequent Elections under this Section 3.5(c)(i), with respect to all or any part of the Deceased Participant’s Account. Subsequent Elections pursuant to this Section 3.5(c)(i) may specify different changes with respect to different parts of the Deceased Participant’s Account. No Subsequent Elections pursuant to this Section 3.5(c)(i) shall be permitted commencing on the Restatement Effective Date.</w:t>
      </w:r>
    </w:p>
    <w:p>
      <w:pPr>
        <w:pStyle w:val="TextBody"/>
        <w:bidi w:val="0"/>
        <w:spacing w:before="0" w:after="0"/>
        <w:jc w:val="left"/>
        <w:rPr/>
      </w:pPr>
      <w:r>
        <w:rPr/>
      </w:r>
    </w:p>
    <w:p>
      <w:pPr>
        <w:pStyle w:val="TextBody"/>
        <w:bidi w:val="0"/>
        <w:spacing w:lineRule="auto" w:line="240" w:before="0" w:after="240"/>
        <w:ind w:left="0" w:right="0" w:firstLine="2880"/>
        <w:jc w:val="left"/>
        <w:rPr/>
      </w:pPr>
      <w:r>
        <w:rPr>
          <w:rFonts w:ascii="Times New Roman;serif" w:hAnsi="Times New Roman;serif"/>
          <w:b w:val="false"/>
          <w:color w:val="000000"/>
          <w:sz w:val="24"/>
        </w:rPr>
        <w:t>(ii)</w:t>
      </w:r>
      <w:r>
        <w:rPr>
          <w:rFonts w:ascii="Times New Roman;serif" w:hAnsi="Times New Roman;serif"/>
          <w:b w:val="false"/>
          <w:color w:val="000000"/>
          <w:sz w:val="24"/>
          <w:u w:val="single"/>
        </w:rPr>
        <w:t>Exception</w:t>
      </w:r>
      <w:r>
        <w:rPr>
          <w:rFonts w:ascii="Times New Roman;serif" w:hAnsi="Times New Roman;serif"/>
          <w:b w:val="false"/>
          <w:color w:val="000000"/>
          <w:sz w:val="24"/>
        </w:rPr>
        <w:t xml:space="preserve">. Notwithstanding the above Section 3.5(c)(i), a Subsequent Election may be made by a Surviving Spouse within sixty (60) days of the Deceased Participant’s death;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Surviving Spouse shall specify the change in the manner of distribution or the change in the time of payment, which—</w:t>
      </w:r>
    </w:p>
    <w:p>
      <w:pPr>
        <w:pStyle w:val="TextBody"/>
        <w:bidi w:val="0"/>
        <w:spacing w:lineRule="auto" w:line="240" w:before="0" w:after="240"/>
        <w:ind w:left="0" w:right="0" w:firstLine="4320"/>
        <w:jc w:val="left"/>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With respect to Subsequent Elections filed on or before December 31, 2020, shall be for a minimum of two (2) and a maximum of ten (10) additional years from the previously-elected payment date;</w:t>
      </w:r>
    </w:p>
    <w:p>
      <w:pPr>
        <w:pStyle w:val="TextBody"/>
        <w:bidi w:val="0"/>
        <w:spacing w:lineRule="auto" w:line="240" w:before="0" w:after="240"/>
        <w:ind w:left="0" w:right="0" w:firstLine="4320"/>
        <w:jc w:val="left"/>
        <w:rPr/>
      </w:pP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With respect to Subsequent Elections filed after December 31, 2020 but before the Restatement Effective Date, shall be for a minimum of two (2) and a maximum of seven (7) additional years from the previously-elected payment date; and</w:t>
      </w:r>
    </w:p>
    <w:p>
      <w:pPr>
        <w:pStyle w:val="TextBody"/>
        <w:bidi w:val="0"/>
        <w:spacing w:lineRule="auto" w:line="240" w:before="0" w:after="240"/>
        <w:ind w:left="0" w:right="0" w:firstLine="4320"/>
        <w:jc w:val="left"/>
        <w:rPr/>
      </w:pPr>
      <w:r>
        <w:rPr>
          <w:rFonts w:ascii="Times New Roman;serif" w:hAnsi="Times New Roman;serif"/>
          <w:b w:val="false"/>
          <w:color w:val="000000"/>
          <w:sz w:val="24"/>
        </w:rPr>
        <w:t>(C)</w:t>
      </w:r>
      <w:r>
        <w:rPr>
          <w:color w:val="000000"/>
        </w:rPr>
        <w:t xml:space="preserve">     </w:t>
      </w:r>
      <w:r>
        <w:rPr>
          <w:rFonts w:ascii="Times New Roman;serif" w:hAnsi="Times New Roman;serif"/>
          <w:b w:val="false"/>
          <w:color w:val="000000"/>
          <w:sz w:val="24"/>
        </w:rPr>
        <w:t>With respect to Subsequent Elections filed on or before December 31, 2020, such Surviving Spouse may elect to defer payment until such Surviving Spouse’s death.</w:t>
      </w:r>
    </w:p>
    <w:p>
      <w:pPr>
        <w:pStyle w:val="TextBody"/>
        <w:bidi w:val="0"/>
        <w:spacing w:lineRule="auto" w:line="240"/>
        <w:jc w:val="left"/>
        <w:rPr>
          <w:rFonts w:ascii="Times New Roman;serif" w:hAnsi="Times New Roman;serif"/>
          <w:b w:val="false"/>
          <w:color w:val="000000"/>
          <w:sz w:val="24"/>
        </w:rPr>
      </w:pPr>
      <w:r>
        <w:rPr>
          <w:rFonts w:ascii="Times New Roman;serif" w:hAnsi="Times New Roman;serif"/>
          <w:b w:val="false"/>
          <w:color w:val="000000"/>
          <w:sz w:val="24"/>
        </w:rPr>
        <w:t xml:space="preserve">A Surviving Spouse may only make one (1) Subsequent Election under this Section 3.5(c)(ii) with respect to all or any part of the Deceased Participant’s Account. Such Surviving Spouse may, however, make one additional Subsequent Election under Section 3.5(c)(i) in accordance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87680"/>
                <wp:effectExtent l="0" t="0" r="0" b="0"/>
                <wp:wrapNone/>
                <wp:docPr id="57" name="Frame56"/>
                <a:graphic xmlns:a="http://schemas.openxmlformats.org/drawingml/2006/main">
                  <a:graphicData uri="http://schemas.microsoft.com/office/word/2010/wordprocessingShape">
                    <wps:wsp>
                      <wps:cNvSpPr txBox="1"/>
                      <wps:spPr>
                        <a:xfrm>
                          <a:off x="0" y="0"/>
                          <a:ext cx="6480175" cy="487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v:textbox>
                <w10:wrap type="none"/>
              </v:rect>
            </w:pict>
          </mc:Fallback>
        </mc:AlternateConten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with the terms of Section 3.5(c)(i). The one (1) Subsequent Election permitted under this Section 3.5(c)(ii) may specify different changes for different parts of the Deceased Participant’s Account. No Subsequent Elections pursuant to this Section 3.5(c)(ii) shall be permitted commencing on the Restatement Effective Date, 2026.</w:t>
      </w:r>
    </w:p>
    <w:p>
      <w:pPr>
        <w:pStyle w:val="TextBody"/>
        <w:bidi w:val="0"/>
        <w:spacing w:before="0" w:after="0"/>
        <w:jc w:val="left"/>
        <w:rPr/>
      </w:pPr>
      <w:r>
        <w:rPr/>
      </w:r>
    </w:p>
    <w:p>
      <w:pPr>
        <w:pStyle w:val="TextBody"/>
        <w:bidi w:val="0"/>
        <w:spacing w:lineRule="auto" w:line="240" w:before="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Beneficiary of a Deceased Participant Other Than a Surviving Spouse</w:t>
      </w:r>
      <w:r>
        <w:rPr>
          <w:rFonts w:ascii="Times New Roman;serif" w:hAnsi="Times New Roman;serif"/>
          <w:b w:val="false"/>
          <w:color w:val="000000"/>
          <w:sz w:val="24"/>
        </w:rPr>
        <w:t>.</w:t>
      </w:r>
    </w:p>
    <w:p>
      <w:pPr>
        <w:pStyle w:val="TextBody"/>
        <w:bidi w:val="0"/>
        <w:spacing w:lineRule="auto" w:line="240" w:before="0" w:after="240"/>
        <w:ind w:left="0" w:right="0" w:firstLine="2880"/>
        <w:jc w:val="left"/>
        <w:rPr/>
      </w:pPr>
      <w:r>
        <w:rPr>
          <w:rFonts w:ascii="Times New Roman;serif" w:hAnsi="Times New Roman;serif"/>
          <w:b w:val="false"/>
          <w:color w:val="000000"/>
          <w:sz w:val="24"/>
        </w:rPr>
        <w:t>(i)</w:t>
      </w:r>
      <w:r>
        <w:rPr>
          <w:rFonts w:ascii="Times New Roman;serif" w:hAnsi="Times New Roman;serif"/>
          <w:b w:val="false"/>
          <w:color w:val="000000"/>
          <w:sz w:val="24"/>
          <w:u w:val="single"/>
        </w:rPr>
        <w:t>General Rule</w:t>
      </w:r>
      <w:r>
        <w:rPr>
          <w:rFonts w:ascii="Times New Roman;serif" w:hAnsi="Times New Roman;serif"/>
          <w:b w:val="false"/>
          <w:color w:val="000000"/>
          <w:sz w:val="24"/>
        </w:rPr>
        <w:t>. A Beneficiary of a Deceased Participant (other than a Surviving Spouse) may elect to change the manner of distribution, or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Beneficiary shall specify the change in the manner of distribution or the change in the time of payment, which shall be no less than two (2) nor more than ten (10) years from the previously-elected payment date. A Beneficiary may make one (1) Subsequent Election under this Section 3.5(d)(i), with respect to all or any part of the Deceased Participant’s Account. Subsequent Elections pursuant to this Section 3.5(d)(i) may specify different changes for different parts of the Deceased Participant’s Account. No Subsequent Elections pursuant to this Section 3.5(d)(i) shall be permitted commencing on the Restatement Effective Date.</w:t>
      </w:r>
    </w:p>
    <w:p>
      <w:pPr>
        <w:pStyle w:val="TextBody"/>
        <w:bidi w:val="0"/>
        <w:spacing w:lineRule="auto" w:line="240" w:before="0" w:after="240"/>
        <w:ind w:left="0" w:right="0" w:firstLine="2880"/>
        <w:jc w:val="left"/>
        <w:rPr/>
      </w:pPr>
      <w:r>
        <w:rPr>
          <w:rFonts w:ascii="Times New Roman;serif" w:hAnsi="Times New Roman;serif"/>
          <w:b w:val="false"/>
          <w:color w:val="000000"/>
          <w:sz w:val="24"/>
        </w:rPr>
        <w:t>(ii)</w:t>
      </w:r>
      <w:r>
        <w:rPr>
          <w:rFonts w:ascii="Times New Roman;serif" w:hAnsi="Times New Roman;serif"/>
          <w:b w:val="false"/>
          <w:color w:val="000000"/>
          <w:sz w:val="24"/>
          <w:u w:val="single"/>
        </w:rPr>
        <w:t>Exception</w:t>
      </w:r>
      <w:r>
        <w:rPr>
          <w:rFonts w:ascii="Times New Roman;serif" w:hAnsi="Times New Roman;serif"/>
          <w:b w:val="false"/>
          <w:color w:val="000000"/>
          <w:sz w:val="24"/>
        </w:rPr>
        <w:t xml:space="preserve">. Notwithstanding the above Section 3.5(d)(i), a Subsequent Election may be made by a Beneficiary within sixty (60) days of the Deceased Participant’s death;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Beneficiary shall specify the change in the manner of distribution or the change in the time of payment, which—</w:t>
      </w:r>
    </w:p>
    <w:p>
      <w:pPr>
        <w:pStyle w:val="TextBody"/>
        <w:bidi w:val="0"/>
        <w:spacing w:lineRule="auto" w:line="240" w:before="0" w:after="240"/>
        <w:ind w:left="0" w:right="0" w:firstLine="4320"/>
        <w:jc w:val="left"/>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With respect to Subsequent Elections filed on or before December 31, 2020, for a minimum of two (2) and a maximum of ten (10) additional years from the previously-elected payment date; and</w:t>
      </w:r>
    </w:p>
    <w:p>
      <w:pPr>
        <w:pStyle w:val="TextBody"/>
        <w:bidi w:val="0"/>
        <w:spacing w:lineRule="auto" w:line="240" w:before="0" w:after="240"/>
        <w:ind w:left="0" w:right="0" w:firstLine="4320"/>
        <w:jc w:val="left"/>
        <w:rPr/>
      </w:pP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With respect to Subsequent Elections filed after December 31, 2020 but before the Restatement Effective Date, for a minimum of two (2) and a maximum of seven (7) additional years from the previously-elected payment date.</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 Beneficiary may make one (1) Subsequent Election under this Section 3.5(d)(ii) with respect to all or any part of the Deceased Participant’s Account. Subsequent Elections pursuant to this Section 3.5(d)(ii) may specify different changes for different parts of the Deceased Participant’s Account. No Subsequent Elections pursuant to this Section 3.5(d)(ii) shall be permitted commencing on the Restatement Effective Date.</w:t>
      </w:r>
    </w:p>
    <w:p>
      <w:pPr>
        <w:pStyle w:val="TextBody"/>
        <w:bidi w:val="0"/>
        <w:spacing w:before="0" w:after="0"/>
        <w:jc w:val="left"/>
        <w:rPr/>
      </w:pPr>
      <w:r>
        <w:rPr/>
      </w:r>
    </w:p>
    <w:p>
      <w:pPr>
        <w:pStyle w:val="TextBody"/>
        <w:bidi w:val="0"/>
        <w:spacing w:lineRule="auto" w:line="240" w:before="0" w:after="240"/>
        <w:ind w:left="0" w:right="0" w:firstLine="216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Acceleration by a Beneficiary</w:t>
      </w:r>
      <w:r>
        <w:rPr>
          <w:rFonts w:ascii="Times New Roman;serif" w:hAnsi="Times New Roman;serif"/>
          <w:b w:val="false"/>
          <w:color w:val="000000"/>
          <w:sz w:val="24"/>
        </w:rPr>
        <w:t>. Any Beneficiary (other than a Surviving Spouse who has made a Subsequent Election under Section 3.5(c) or a Beneficiary who has made a Subsequent Election under Section 3.5(d)) may elect to accelerate the time of payment of a Deceased Participant’s Account or deceased Beneficiary’s Account from the date or dates that payment would otherwise be made or begin to the date that is the later of (A) six (6) months after the date of the Deceased Participant’s or deceased Beneficiary’s death and (B) January 2nd of the calendar year beginning after the Deceased Participant’s or deceased Beneficiary’s death, provided that if a Subsequent Election is made pursuant to this Section 3.5(e), the Deceased Participant’s Account or deceased Beneficiary’s Account shall be distributed in full on such accelerated payment date.</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87680"/>
                <wp:effectExtent l="0" t="0" r="0" b="0"/>
                <wp:wrapNone/>
                <wp:docPr id="58" name="Frame57"/>
                <a:graphic xmlns:a="http://schemas.openxmlformats.org/drawingml/2006/main">
                  <a:graphicData uri="http://schemas.microsoft.com/office/word/2010/wordprocessingShape">
                    <wps:wsp>
                      <wps:cNvSpPr txBox="1"/>
                      <wps:spPr>
                        <a:xfrm>
                          <a:off x="0" y="0"/>
                          <a:ext cx="6480175" cy="487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v:textbox>
                <w10:wrap type="none"/>
              </v:rect>
            </w:pict>
          </mc:Fallback>
        </mc:AlternateContent>
      </w:r>
    </w:p>
    <w:p>
      <w:pPr>
        <w:pStyle w:val="TextBody"/>
        <w:bidi w:val="0"/>
        <w:spacing w:lineRule="auto" w:line="240" w:before="0" w:after="240"/>
        <w:ind w:left="0" w:right="0" w:firstLine="216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Disabled Participant</w:t>
      </w:r>
      <w:r>
        <w:rPr>
          <w:rFonts w:ascii="Times New Roman;serif" w:hAnsi="Times New Roman;serif"/>
          <w:b w:val="false"/>
          <w:color w:val="000000"/>
          <w:sz w:val="24"/>
        </w:rPr>
        <w:t>. A Disabled Participant (who has not been permitted to make a Subsequent Election under Section 3.5(h)) may elect to change the form of distribution from the form of distribution that the payment of the Disabled Participant’s Account would otherwise be made and may elect to accelerate the time of payment of the Disabled Participant’s Account from the date payment would otherwise be made to January 2nd of the calendar year beginning after the Participant became disabled. A Subsequent Election pursuant to this Section 3.5(f)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pStyle w:val="TextBody"/>
        <w:bidi w:val="0"/>
        <w:spacing w:lineRule="auto" w:line="240" w:before="0" w:after="240"/>
        <w:ind w:left="0" w:right="0" w:firstLine="2160"/>
        <w:jc w:val="left"/>
        <w:rPr/>
      </w:pPr>
      <w:r>
        <w:rPr>
          <w:rFonts w:ascii="Times New Roman;serif" w:hAnsi="Times New Roman;serif"/>
          <w:b w:val="false"/>
          <w:color w:val="000000"/>
          <w:sz w:val="24"/>
        </w:rPr>
        <w:t>(g)</w:t>
      </w:r>
      <w:r>
        <w:rPr>
          <w:rFonts w:ascii="Times New Roman;serif" w:hAnsi="Times New Roman;serif"/>
          <w:b w:val="false"/>
          <w:color w:val="000000"/>
          <w:sz w:val="24"/>
          <w:u w:val="single"/>
        </w:rPr>
        <w:t>Retired Participant</w:t>
      </w:r>
      <w:r>
        <w:rPr>
          <w:rFonts w:ascii="Times New Roman;serif" w:hAnsi="Times New Roman;serif"/>
          <w:b w:val="false"/>
          <w:color w:val="000000"/>
          <w:sz w:val="24"/>
        </w:rPr>
        <w:t>. A Retired Participant (who has not been permitted to make a Subsequent Election under Section 3.5(h)) may elect to change the form of distribution from the form of distribution that payment of the Retired Participant’s Account would otherwise be made and may elect to defer the time of payment of the Retired Participant’s Account for a minimum of two additional years from the date payment would otherwise be made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a Subsequent Election is made pursuant to this Section 3.5(g), the Retired Participant’s Account shall be distributed in full on or before the fifth anniversary of the Retired Participant’s Normal Retirement). A Subsequent Election pursuant to this Section 3.5(g) must be filed with the Administrator on or before the close of business on the later of (i) the June 30 following the Participant’s Normal Retirement on or before May 1 or a calendar year, (ii) the 60th day following the Participant’s Normal Retirement after May 1 and before November 2 of a calendar year or (iii) the December 31 following the Participant’s Normal Retirement after November 1 of a calendar year.</w:t>
      </w:r>
    </w:p>
    <w:p>
      <w:pPr>
        <w:pStyle w:val="TextBody"/>
        <w:bidi w:val="0"/>
        <w:spacing w:lineRule="auto" w:line="240" w:before="0" w:after="240"/>
        <w:ind w:left="0" w:right="0" w:firstLine="2160"/>
        <w:jc w:val="left"/>
        <w:rPr/>
      </w:pPr>
      <w:r>
        <w:rPr>
          <w:rFonts w:ascii="Times New Roman;serif" w:hAnsi="Times New Roman;serif"/>
          <w:b w:val="false"/>
          <w:color w:val="000000"/>
          <w:sz w:val="24"/>
        </w:rPr>
        <w:t>(h)</w:t>
      </w:r>
      <w:r>
        <w:rPr>
          <w:rFonts w:ascii="Times New Roman;serif" w:hAnsi="Times New Roman;serif"/>
          <w:b w:val="false"/>
          <w:color w:val="000000"/>
          <w:sz w:val="24"/>
          <w:u w:val="single"/>
        </w:rPr>
        <w:t>Retired Participants and Disabled Participants</w:t>
      </w:r>
      <w:r>
        <w:rPr>
          <w:rFonts w:ascii="Times New Roman;serif" w:hAnsi="Times New Roman;serif"/>
          <w:b w:val="false"/>
          <w:color w:val="000000"/>
          <w:sz w:val="24"/>
        </w:rPr>
        <w:t>. The Committee may, in its sole and absolute discretion, permit a Retired Participant or a Disabled Participant to make a Subsequent Election to change the form of distribution that the payment of the Retired Participant’s account would otherwise be made or to defer the time of payment of any part or all of such Retired or Disabled Participant’s Account—</w:t>
      </w:r>
    </w:p>
    <w:p>
      <w:pPr>
        <w:pStyle w:val="TextBody"/>
        <w:bidi w:val="0"/>
        <w:spacing w:lineRule="auto" w:line="240" w:before="0" w:after="240"/>
        <w:ind w:left="0" w:right="0" w:firstLine="2880"/>
        <w:jc w:val="left"/>
        <w:rPr/>
      </w:pPr>
      <w:r>
        <w:rPr>
          <w:rFonts w:ascii="Times New Roman;serif" w:hAnsi="Times New Roman;serif"/>
          <w:b w:val="false"/>
          <w:color w:val="000000"/>
          <w:sz w:val="24"/>
        </w:rPr>
        <w:t>(i)</w:t>
      </w:r>
      <w:r>
        <w:rPr>
          <w:rFonts w:ascii="Times New Roman;serif" w:hAnsi="Times New Roman;serif"/>
          <w:b w:val="false"/>
          <w:color w:val="000000"/>
          <w:sz w:val="24"/>
        </w:rPr>
        <w:t>With respect to Subsequent Elections filed on or before December 31, 2020, for a minimum of two (2) and a maximum of ten (10) additional years from the previously-elected payment date;</w:t>
      </w:r>
    </w:p>
    <w:p>
      <w:pPr>
        <w:pStyle w:val="TextBody"/>
        <w:bidi w:val="0"/>
        <w:spacing w:lineRule="auto" w:line="240" w:before="0" w:after="240"/>
        <w:ind w:left="0" w:right="0" w:firstLine="2880"/>
        <w:jc w:val="left"/>
        <w:rPr/>
      </w:pPr>
      <w:r>
        <w:rPr>
          <w:rFonts w:ascii="Times New Roman;serif" w:hAnsi="Times New Roman;serif"/>
          <w:b w:val="false"/>
          <w:color w:val="000000"/>
          <w:sz w:val="24"/>
        </w:rPr>
        <w:t>(ii)</w:t>
      </w:r>
      <w:r>
        <w:rPr>
          <w:rFonts w:ascii="Times New Roman;serif" w:hAnsi="Times New Roman;serif"/>
          <w:b w:val="false"/>
          <w:color w:val="000000"/>
          <w:sz w:val="24"/>
        </w:rPr>
        <w:t>With respect to Subsequent Elections filed after December 31, 2020 but before the Restatement Effective Date, for a minimum of two (2) and a maximum of seven (7) additional years from the previously-elected payment date; and</w:t>
      </w:r>
    </w:p>
    <w:p>
      <w:pPr>
        <w:pStyle w:val="TextBody"/>
        <w:bidi w:val="0"/>
        <w:spacing w:lineRule="auto" w:line="240" w:before="0" w:after="240"/>
        <w:ind w:left="0" w:right="0" w:firstLine="2880"/>
        <w:jc w:val="left"/>
        <w:rPr/>
      </w:pPr>
      <w:r>
        <w:rPr>
          <w:rFonts w:ascii="Times New Roman;serif" w:hAnsi="Times New Roman;serif"/>
          <w:b w:val="false"/>
          <w:color w:val="000000"/>
          <w:sz w:val="24"/>
        </w:rPr>
        <w:t>(iii)</w:t>
      </w:r>
      <w:r>
        <w:rPr>
          <w:rFonts w:ascii="Times New Roman;serif" w:hAnsi="Times New Roman;serif"/>
          <w:b w:val="false"/>
          <w:color w:val="000000"/>
          <w:sz w:val="24"/>
        </w:rPr>
        <w:t>With respect to Subsequent Elections filed on or after the Restatement Effective Date, for a minimum of two (2) and a maximum of five (5) additional years from the previously-elected payment date;</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3.5(h) shall be determined by the Committee in its sole and absolute discretion.</w:t>
      </w:r>
    </w:p>
    <w:p>
      <w:pPr>
        <w:pStyle w:val="TextBody"/>
        <w:bidi w:val="0"/>
        <w:spacing w:before="0" w:after="0"/>
        <w:jc w:val="left"/>
        <w:rPr/>
      </w:pPr>
      <w:r>
        <w:rPr/>
      </w:r>
    </w:p>
    <w:p>
      <w:pPr>
        <w:pStyle w:val="TextBody"/>
        <w:bidi w:val="0"/>
        <w:spacing w:lineRule="auto" w:line="240" w:before="0" w:after="240"/>
        <w:ind w:left="0" w:right="0" w:firstLine="2160"/>
        <w:jc w:val="left"/>
        <w:rPr/>
      </w:pPr>
      <w:r>
        <w:rPr>
          <w:rFonts w:ascii="Times New Roman;serif" w:hAnsi="Times New Roman;serif"/>
          <w:b w:val="false"/>
          <w:color w:val="000000"/>
          <w:sz w:val="24"/>
        </w:rPr>
        <w:t>(i)</w:t>
      </w:r>
      <w:r>
        <w:rPr>
          <w:rFonts w:ascii="Times New Roman;serif" w:hAnsi="Times New Roman;serif"/>
          <w:b w:val="false"/>
          <w:color w:val="000000"/>
          <w:sz w:val="24"/>
          <w:u w:val="single"/>
        </w:rPr>
        <w:t>Most Recently Filed Initial Election or Subsequent Election Controlling</w:t>
      </w:r>
      <w:r>
        <w:rPr>
          <w:rFonts w:ascii="Times New Roman;serif" w:hAnsi="Times New Roman;serif"/>
          <w:b w:val="false"/>
          <w:color w:val="000000"/>
          <w:sz w:val="24"/>
        </w:rPr>
        <w:t xml:space="preserve">. Subject to acceleration pursuant to Section 3.5(e) or 3.5(f), Section 3.7 or Section 7.1, no distribution of the amounts deferred by a Participant for any calendar year shall be made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87680"/>
                <wp:effectExtent l="0" t="0" r="0" b="0"/>
                <wp:wrapNone/>
                <wp:docPr id="59" name="Frame58"/>
                <a:graphic xmlns:a="http://schemas.openxmlformats.org/drawingml/2006/main">
                  <a:graphicData uri="http://schemas.microsoft.com/office/word/2010/wordprocessingShape">
                    <wps:wsp>
                      <wps:cNvSpPr txBox="1"/>
                      <wps:spPr>
                        <a:xfrm>
                          <a:off x="0" y="0"/>
                          <a:ext cx="6480175" cy="487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before the payment date designated by the Participant or Beneficiary on the most recently filed Initial Election or Subsequent Election with respect to each deferred amount. </w:t>
      </w:r>
    </w:p>
    <w:p>
      <w:pPr>
        <w:pStyle w:val="TextBody"/>
        <w:bidi w:val="0"/>
        <w:spacing w:lineRule="auto" w:line="240" w:before="0" w:after="240"/>
        <w:ind w:left="0" w:right="0" w:firstLine="1440"/>
        <w:jc w:val="left"/>
        <w:rPr/>
      </w:pPr>
      <w:r>
        <w:rPr>
          <w:rFonts w:ascii="Times New Roman;serif" w:hAnsi="Times New Roman;serif"/>
          <w:b w:val="false"/>
          <w:color w:val="000000"/>
          <w:sz w:val="24"/>
        </w:rPr>
        <w:t>3.6.</w:t>
      </w:r>
      <w:r>
        <w:rPr>
          <w:rFonts w:ascii="Times New Roman;serif" w:hAnsi="Times New Roman;serif"/>
          <w:b w:val="false"/>
          <w:color w:val="000000"/>
          <w:sz w:val="24"/>
          <w:u w:val="single"/>
        </w:rPr>
        <w:t>Distribution in Full upon Terminating Event</w:t>
      </w:r>
      <w:r>
        <w:rPr>
          <w:rFonts w:ascii="Times New Roman;serif" w:hAnsi="Times New Roman;serif"/>
          <w:b w:val="false"/>
          <w:color w:val="000000"/>
          <w:sz w:val="24"/>
        </w:rPr>
        <w:t>. The Company shall give Participants at least thirty (30) days’ notice (or, if not practicable, such shorter notice as may be reasonably practicable) prior to the anticipated date of the consummation of a Terminating Event. The Committee may, in its discretion, provide in such notice that notwithstanding any other provision of the Plan or the terms of any Initial Election or Subsequent Election, upon the consummation of a Terminating Event, the Account balance of each Participant shall be distributed in full and any outstanding Initial Elections or Subsequent Elections shall be revoked.</w:t>
      </w:r>
    </w:p>
    <w:p>
      <w:pPr>
        <w:pStyle w:val="TextBody"/>
        <w:bidi w:val="0"/>
        <w:spacing w:lineRule="auto" w:line="240" w:before="0" w:after="240"/>
        <w:ind w:left="0" w:right="0" w:firstLine="1440"/>
        <w:jc w:val="left"/>
        <w:rPr/>
      </w:pPr>
      <w:r>
        <w:rPr>
          <w:rFonts w:ascii="Times New Roman;serif" w:hAnsi="Times New Roman;serif"/>
          <w:b w:val="false"/>
          <w:color w:val="000000"/>
          <w:sz w:val="24"/>
        </w:rPr>
        <w:t>3.7.</w:t>
      </w:r>
      <w:r>
        <w:rPr>
          <w:rFonts w:ascii="Times New Roman;serif" w:hAnsi="Times New Roman;serif"/>
          <w:b w:val="false"/>
          <w:color w:val="000000"/>
          <w:sz w:val="24"/>
          <w:u w:val="single"/>
        </w:rPr>
        <w:t>Withholding and Payment of Death Taxes</w:t>
      </w:r>
      <w:r>
        <w:rPr>
          <w:rFonts w:ascii="Times New Roman;serif" w:hAnsi="Times New Roman;serif"/>
          <w:b w:val="false"/>
          <w:color w:val="000000"/>
          <w:sz w:val="24"/>
        </w:rPr>
        <w:t>.</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w:t>
      </w:r>
      <w:r>
        <w:rPr>
          <w:rFonts w:ascii="Times New Roman;serif" w:hAnsi="Times New Roman;serif"/>
          <w:b w:val="false"/>
          <w:color w:val="000000"/>
          <w:sz w:val="24"/>
          <w:u w:val="single"/>
        </w:rPr>
        <w:t>Decedent</w:t>
      </w:r>
      <w:r>
        <w:rPr>
          <w:color w:val="000000"/>
        </w:rPr>
        <w:t>”</w:t>
      </w:r>
      <w:r>
        <w:rPr>
          <w:rFonts w:ascii="Times New Roman;serif" w:hAnsi="Times New Roman;serif"/>
          <w:b w:val="false"/>
          <w:color w:val="000000"/>
          <w:sz w:val="24"/>
        </w:rPr>
        <w:t>), the Administrator shall apply the terms of Section 3.7(b) to the Decedent’s Account unless the Decedent affirmatively has elected, in writing, filed with the Administrator, to waive the application of Section 3.7(b).</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Unless the Decedent affirmatively has elected, pursuant to Section 3.7(a), that the terms of this Section 3.7(b) not apply:</w:t>
      </w:r>
    </w:p>
    <w:p>
      <w:pPr>
        <w:pStyle w:val="TextBody"/>
        <w:bidi w:val="0"/>
        <w:spacing w:lineRule="auto" w:line="240" w:before="0" w:after="240"/>
        <w:ind w:left="0" w:right="0" w:firstLine="2880"/>
        <w:jc w:val="left"/>
        <w:rPr/>
      </w:pPr>
      <w:r>
        <w:rPr>
          <w:rFonts w:ascii="Times New Roman;serif" w:hAnsi="Times New Roman;serif"/>
          <w:b w:val="false"/>
          <w:color w:val="000000"/>
          <w:sz w:val="24"/>
        </w:rPr>
        <w:t>(i)</w:t>
      </w:r>
      <w:r>
        <w:rPr>
          <w:rFonts w:ascii="Times New Roman;serif" w:hAnsi="Times New Roman;serif"/>
          <w:b w:val="false"/>
          <w:color w:val="000000"/>
          <w:sz w:val="24"/>
        </w:rPr>
        <w:t>The Administrator shall prohibit the Decedent’s Beneficiary from taking any action under any of the provisions of the Plan with regard to the Decedent’s Account other than the Beneficiary’s making of a Subsequent Election pursuant to Section 3.5;</w:t>
      </w:r>
    </w:p>
    <w:p>
      <w:pPr>
        <w:pStyle w:val="TextBody"/>
        <w:bidi w:val="0"/>
        <w:spacing w:lineRule="auto" w:line="240" w:before="0" w:after="240"/>
        <w:ind w:left="0" w:right="0" w:firstLine="2880"/>
        <w:jc w:val="left"/>
        <w:rPr/>
      </w:pPr>
      <w:r>
        <w:rPr>
          <w:rFonts w:ascii="Times New Roman;serif" w:hAnsi="Times New Roman;serif"/>
          <w:b w:val="false"/>
          <w:color w:val="000000"/>
          <w:sz w:val="24"/>
        </w:rPr>
        <w:t>(ii)</w:t>
      </w:r>
      <w:r>
        <w:rPr>
          <w:rFonts w:ascii="Times New Roman;serif" w:hAnsi="Times New Roman;serif"/>
          <w:b w:val="false"/>
          <w:color w:val="000000"/>
          <w:sz w:val="24"/>
        </w:rPr>
        <w:t>The Administrator shall defer payment of the Decedent’s Account until the later of the Death Tax Clearance Date and the payment date designated in the Decedent’s Initial Election or Subsequent Election;</w:t>
      </w:r>
    </w:p>
    <w:p>
      <w:pPr>
        <w:pStyle w:val="TextBody"/>
        <w:bidi w:val="0"/>
        <w:spacing w:lineRule="auto" w:line="240" w:before="0" w:after="240"/>
        <w:ind w:left="0" w:right="0" w:firstLine="2880"/>
        <w:jc w:val="left"/>
        <w:rPr/>
      </w:pPr>
      <w:r>
        <w:rPr>
          <w:rFonts w:ascii="Times New Roman;serif" w:hAnsi="Times New Roman;serif"/>
          <w:b w:val="false"/>
          <w:color w:val="000000"/>
          <w:sz w:val="24"/>
        </w:rPr>
        <w:t>(iii)</w:t>
      </w:r>
      <w:r>
        <w:rPr>
          <w:rFonts w:ascii="Times New Roman;serif" w:hAnsi="Times New Roman;serif"/>
          <w:b w:val="false"/>
          <w:color w:val="000000"/>
          <w:sz w:val="24"/>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pStyle w:val="TextBody"/>
        <w:bidi w:val="0"/>
        <w:spacing w:lineRule="auto" w:line="240" w:before="0" w:after="240"/>
        <w:ind w:left="0" w:right="0" w:firstLine="2880"/>
        <w:jc w:val="left"/>
        <w:rPr/>
      </w:pPr>
      <w:r>
        <w:rPr>
          <w:rFonts w:ascii="Times New Roman;serif" w:hAnsi="Times New Roman;serif"/>
          <w:b w:val="false"/>
          <w:color w:val="000000"/>
          <w:sz w:val="24"/>
        </w:rPr>
        <w:t>(iv)</w:t>
      </w:r>
      <w:r>
        <w:rPr>
          <w:rFonts w:ascii="Times New Roman;serif" w:hAnsi="Times New Roman;serif"/>
          <w:b w:val="false"/>
          <w:color w:val="000000"/>
          <w:sz w:val="24"/>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pStyle w:val="TextBody"/>
        <w:bidi w:val="0"/>
        <w:spacing w:lineRule="auto" w:line="240" w:before="0" w:after="240"/>
        <w:ind w:left="0" w:right="0" w:firstLine="2880"/>
        <w:jc w:val="left"/>
        <w:rPr/>
      </w:pPr>
      <w:r>
        <w:rPr>
          <w:rFonts w:ascii="Times New Roman;serif" w:hAnsi="Times New Roman;serif"/>
          <w:b w:val="false"/>
          <w:color w:val="000000"/>
          <w:sz w:val="24"/>
        </w:rPr>
        <w:t>(v)</w:t>
      </w:r>
      <w:r>
        <w:rPr>
          <w:rFonts w:ascii="Times New Roman;serif" w:hAnsi="Times New Roman;serif"/>
          <w:b w:val="false"/>
          <w:color w:val="000000"/>
          <w:sz w:val="24"/>
        </w:rPr>
        <w:t xml:space="preserve">Amounts withdrawn from the Decedent’s Account by the Administrator pursuant to Sections 3.7(b)(iii) and 3.7(b)(iv) shall be withdrawn from the portions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87680"/>
                <wp:effectExtent l="0" t="0" r="0" b="0"/>
                <wp:wrapNone/>
                <wp:docPr id="60" name="Frame59"/>
                <a:graphic xmlns:a="http://schemas.openxmlformats.org/drawingml/2006/main">
                  <a:graphicData uri="http://schemas.microsoft.com/office/word/2010/wordprocessingShape">
                    <wps:wsp>
                      <wps:cNvSpPr txBox="1"/>
                      <wps:spPr>
                        <a:xfrm>
                          <a:off x="0" y="0"/>
                          <a:ext cx="6480175" cy="487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of Decedent’s Account having the earliest distribution dates as specified in Decedent’s Initial Election or Subsequent Election; and</w:t>
      </w:r>
    </w:p>
    <w:p>
      <w:pPr>
        <w:pStyle w:val="TextBody"/>
        <w:bidi w:val="0"/>
        <w:spacing w:lineRule="auto" w:line="240" w:before="0" w:after="240"/>
        <w:ind w:left="0" w:right="0" w:firstLine="2880"/>
        <w:jc w:val="left"/>
        <w:rPr/>
      </w:pPr>
      <w:r>
        <w:rPr>
          <w:rFonts w:ascii="Times New Roman;serif" w:hAnsi="Times New Roman;serif"/>
          <w:b w:val="false"/>
          <w:color w:val="000000"/>
          <w:sz w:val="24"/>
        </w:rPr>
        <w:t>(vi)</w:t>
      </w:r>
      <w:r>
        <w:rPr>
          <w:rFonts w:ascii="Times New Roman;serif" w:hAnsi="Times New Roman;serif"/>
          <w:b w:val="false"/>
          <w:color w:val="000000"/>
          <w:sz w:val="24"/>
        </w:rPr>
        <w:t>Within a reasonable time after the later to occur of the Death Tax Clearance Date and the payment date designated in the Decedent’s Initial Election or Subsequent Election, the Administrator shall pay the Decedent’s Account to the Beneficiary.</w:t>
      </w:r>
    </w:p>
    <w:p>
      <w:pPr>
        <w:pStyle w:val="TextBody"/>
        <w:bidi w:val="0"/>
        <w:spacing w:lineRule="auto" w:line="240" w:before="0" w:after="240"/>
        <w:jc w:val="center"/>
        <w:rPr/>
      </w:pPr>
      <w:r>
        <w:rPr>
          <w:rFonts w:ascii="Times New Roman;serif" w:hAnsi="Times New Roman;serif"/>
          <w:b/>
          <w:color w:val="000000"/>
          <w:sz w:val="24"/>
        </w:rPr>
        <w:t>ARTICLE 4</w:t>
      </w:r>
      <w:r>
        <w:rPr>
          <w:color w:val="000000"/>
        </w:rPr>
        <w:t xml:space="preserve"> – </w:t>
      </w:r>
      <w:r>
        <w:rPr>
          <w:rFonts w:ascii="Times New Roman;serif" w:hAnsi="Times New Roman;serif"/>
          <w:b w:val="false"/>
          <w:color w:val="000000"/>
          <w:sz w:val="24"/>
        </w:rPr>
        <w:t>MANNER OF DISTRIBUTION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4.1.</w:t>
      </w:r>
      <w:r>
        <w:rPr>
          <w:rFonts w:ascii="Times New Roman;serif" w:hAnsi="Times New Roman;serif"/>
          <w:b w:val="false"/>
          <w:color w:val="000000"/>
          <w:sz w:val="24"/>
          <w:u w:val="single"/>
        </w:rPr>
        <w:t>Manner of Distribution</w:t>
      </w:r>
      <w:r>
        <w:rPr>
          <w:rFonts w:ascii="Times New Roman;serif" w:hAnsi="Times New Roman;serif"/>
          <w:b w:val="false"/>
          <w:color w:val="000000"/>
          <w:sz w:val="24"/>
        </w:rPr>
        <w:t xml:space="preserve">. </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Amounts credited to an Account shall be distributed: </w:t>
      </w:r>
    </w:p>
    <w:p>
      <w:pPr>
        <w:pStyle w:val="TextBody"/>
        <w:bidi w:val="0"/>
        <w:spacing w:lineRule="auto" w:line="240" w:before="0" w:after="240"/>
        <w:ind w:left="0" w:right="0" w:firstLine="2880"/>
        <w:jc w:val="left"/>
        <w:rPr/>
      </w:pPr>
      <w:r>
        <w:rPr>
          <w:rFonts w:ascii="Times New Roman;serif" w:hAnsi="Times New Roman;serif"/>
          <w:b w:val="false"/>
          <w:color w:val="000000"/>
          <w:sz w:val="24"/>
        </w:rPr>
        <w:t>(i)</w:t>
      </w:r>
      <w:r>
        <w:rPr>
          <w:rFonts w:ascii="Times New Roman;serif" w:hAnsi="Times New Roman;serif"/>
          <w:b w:val="false"/>
          <w:color w:val="000000"/>
          <w:sz w:val="24"/>
        </w:rPr>
        <w:t>With respect to Initial Elections or Subsequent Elections filed on or before December 31, 2020 in either (i) a lump sum payment or (ii) substantially equal annual installments over a five (5), ten (10) or fifteen (15) year period or (iii) substantially equal monthly installments over a period not exceeding fifteen (15) years.</w:t>
      </w:r>
    </w:p>
    <w:p>
      <w:pPr>
        <w:pStyle w:val="TextBody"/>
        <w:bidi w:val="0"/>
        <w:spacing w:lineRule="auto" w:line="240" w:before="0" w:after="240"/>
        <w:ind w:left="0" w:right="0" w:firstLine="2880"/>
        <w:jc w:val="left"/>
        <w:rPr/>
      </w:pPr>
      <w:r>
        <w:rPr>
          <w:rFonts w:ascii="Times New Roman;serif" w:hAnsi="Times New Roman;serif"/>
          <w:b w:val="false"/>
          <w:color w:val="000000"/>
          <w:sz w:val="24"/>
        </w:rPr>
        <w:t>(ii)</w:t>
      </w:r>
      <w:r>
        <w:rPr>
          <w:rFonts w:ascii="Times New Roman;serif" w:hAnsi="Times New Roman;serif"/>
          <w:b w:val="false"/>
          <w:color w:val="000000"/>
          <w:sz w:val="24"/>
        </w:rPr>
        <w:t xml:space="preserve">With respect to Subsequent Elections filed after December 31, 2020, in either (i) a lump sum payment or (ii) substantially equal annual installments over a five- (5) or ten- (10) year period or (iii) substantially equal monthly installments over a period not exceeding ten (10) years. </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Installment distributions payable in the form of shares of Company Stock shall be rounded to the nearest whole share.</w:t>
      </w:r>
    </w:p>
    <w:p>
      <w:pPr>
        <w:pStyle w:val="TextBody"/>
        <w:bidi w:val="0"/>
        <w:spacing w:before="0" w:after="0"/>
        <w:jc w:val="left"/>
        <w:rPr/>
      </w:pPr>
      <w:r>
        <w:rPr/>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Notwithstanding any Initial Election or Subsequent Election or any other provision of the Plan to the contrary:</w:t>
      </w:r>
    </w:p>
    <w:p>
      <w:pPr>
        <w:pStyle w:val="TextBody"/>
        <w:bidi w:val="0"/>
        <w:spacing w:lineRule="auto" w:line="240" w:before="0" w:after="240"/>
        <w:ind w:left="0" w:right="0" w:firstLine="2880"/>
        <w:jc w:val="left"/>
        <w:rPr/>
      </w:pPr>
      <w:r>
        <w:rPr>
          <w:rFonts w:ascii="Times New Roman;serif" w:hAnsi="Times New Roman;serif"/>
          <w:b w:val="false"/>
          <w:color w:val="000000"/>
          <w:sz w:val="24"/>
        </w:rPr>
        <w:t>(i)</w:t>
      </w:r>
      <w:r>
        <w:rPr>
          <w:rFonts w:ascii="Times New Roman;serif" w:hAnsi="Times New Roman;serif"/>
          <w:b w:val="false"/>
          <w:color w:val="000000"/>
          <w:sz w:val="24"/>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pStyle w:val="TextBody"/>
        <w:bidi w:val="0"/>
        <w:spacing w:lineRule="auto" w:line="240" w:before="0" w:after="240"/>
        <w:ind w:left="0" w:right="0" w:firstLine="2880"/>
        <w:jc w:val="left"/>
        <w:rPr/>
      </w:pPr>
      <w:r>
        <w:rPr>
          <w:rFonts w:ascii="Times New Roman;serif" w:hAnsi="Times New Roman;serif"/>
          <w:b w:val="false"/>
          <w:color w:val="000000"/>
          <w:sz w:val="24"/>
        </w:rPr>
        <w:t>(ii)</w:t>
      </w:r>
      <w:r>
        <w:rPr>
          <w:rFonts w:ascii="Times New Roman;serif" w:hAnsi="Times New Roman;serif"/>
          <w:b w:val="false"/>
          <w:color w:val="000000"/>
          <w:sz w:val="24"/>
        </w:rPr>
        <w:t xml:space="preserve">Following a Participant’s termination of employment for any reason, if the amount credited to the Participant’s Account has a value of $25,000 or less, the Administrator may, in its sole discretion, direct that such amount be distributed to the Participant (or Beneficiary, as applicable) in one lump sum payment;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this Section 4.1(b)(ii) shall not apply to any amount credited to a Participant’s Account until the expiration of the deferral period applicable under any Initial Election or Subsequent Election in effect as of April 29, 2002.</w:t>
      </w:r>
    </w:p>
    <w:p>
      <w:pPr>
        <w:pStyle w:val="TextBody"/>
        <w:bidi w:val="0"/>
        <w:spacing w:lineRule="auto" w:line="240" w:before="0" w:after="240"/>
        <w:ind w:left="0" w:right="0" w:firstLine="1440"/>
        <w:jc w:val="left"/>
        <w:rPr/>
      </w:pPr>
      <w:r>
        <w:rPr>
          <w:rFonts w:ascii="Times New Roman;serif" w:hAnsi="Times New Roman;serif"/>
          <w:b w:val="false"/>
          <w:color w:val="000000"/>
          <w:sz w:val="24"/>
        </w:rPr>
        <w:t>4.2.</w:t>
      </w:r>
      <w:r>
        <w:rPr>
          <w:rFonts w:ascii="Times New Roman;serif" w:hAnsi="Times New Roman;serif"/>
          <w:b w:val="false"/>
          <w:color w:val="000000"/>
          <w:sz w:val="24"/>
          <w:u w:val="single"/>
        </w:rPr>
        <w:t>Determination of Account Balances for Purposes of Distribution</w:t>
      </w:r>
      <w:r>
        <w:rPr>
          <w:rFonts w:ascii="Times New Roman;serif" w:hAnsi="Times New Roman;serif"/>
          <w:b w:val="false"/>
          <w:color w:val="000000"/>
          <w:sz w:val="24"/>
        </w:rPr>
        <w:t>. The amount of any distribution made pursuant to Section 4.1 shall be based on the balances in the Participant’s Account on the date of distribution. For this purpose, the balance in a Participant’s Account shall be calculated by crediting income, gains and losses under the Company Stock Fund and Income Fund, as applicable, through the date immediately preceding the date of distribution.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4.3.</w:t>
      </w:r>
      <w:r>
        <w:rPr>
          <w:rFonts w:ascii="Times New Roman;serif" w:hAnsi="Times New Roman;serif"/>
          <w:b w:val="false"/>
          <w:color w:val="000000"/>
          <w:sz w:val="24"/>
          <w:u w:val="single"/>
        </w:rPr>
        <w:t>Plan-to-Plan Transfers</w:t>
      </w:r>
      <w:r>
        <w:rPr>
          <w:rFonts w:ascii="Times New Roman;serif" w:hAnsi="Times New Roman;serif"/>
          <w:b w:val="false"/>
          <w:color w:val="000000"/>
          <w:sz w:val="24"/>
        </w:rPr>
        <w:t>. The Administrator may delegate its authority to arrange for plan-to-plan transfers as described in this Section 4.3 to an officer of the Company or committee of two or more officers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87680"/>
                <wp:effectExtent l="0" t="0" r="0" b="0"/>
                <wp:wrapNone/>
                <wp:docPr id="61" name="Frame60"/>
                <a:graphic xmlns:a="http://schemas.openxmlformats.org/drawingml/2006/main">
                  <a:graphicData uri="http://schemas.microsoft.com/office/word/2010/wordprocessingShape">
                    <wps:wsp>
                      <wps:cNvSpPr txBox="1"/>
                      <wps:spPr>
                        <a:xfrm>
                          <a:off x="0" y="0"/>
                          <a:ext cx="6480175" cy="487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v:textbox>
                <w10:wrap type="none"/>
              </v:rect>
            </w:pict>
          </mc:Fallback>
        </mc:AlternateConten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Pursuant to Q-A 19(c) of </w:t>
      </w:r>
      <w:r>
        <w:rPr>
          <w:rFonts w:ascii="Times New Roman;serif" w:hAnsi="Times New Roman;serif"/>
          <w:b w:val="false"/>
          <w:i/>
          <w:color w:val="000000"/>
          <w:sz w:val="24"/>
        </w:rPr>
        <w:t>IRS Notice 2005-1</w:t>
      </w:r>
      <w:r>
        <w:rPr>
          <w:rFonts w:ascii="Times New Roman;serif" w:hAnsi="Times New Roman;serif"/>
          <w:b w:val="false"/>
          <w:color w:val="000000"/>
          <w:sz w:val="24"/>
        </w:rPr>
        <w:t xml:space="preserve">, to the extent provided by the Committee or its delegate, on or before December 31, 2005, a Participant may, with respect to all or any portion of his or her Account, make new payment elections as to the form and timing of payment of such amounts as may be permitted under the Comcast Corporation 2005 DC Plan;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following the completion of such new payment election, such amounts shall not be treated as grandfathered benefits under this Plan, but instead shall be treated as non-grandfathered benefits, subject to the rules of the Comcast Corporation 2005 DC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4.4.</w:t>
      </w:r>
      <w:r>
        <w:rPr>
          <w:rFonts w:ascii="Times New Roman;serif" w:hAnsi="Times New Roman;serif"/>
          <w:b w:val="false"/>
          <w:color w:val="000000"/>
          <w:sz w:val="24"/>
          <w:u w:val="single"/>
        </w:rPr>
        <w:t>Supplemental RIP Legacy Accounts</w:t>
      </w:r>
      <w:r>
        <w:rPr>
          <w:rFonts w:ascii="Times New Roman;serif" w:hAnsi="Times New Roman;serif"/>
          <w:b w:val="false"/>
          <w:color w:val="000000"/>
          <w:sz w:val="24"/>
        </w:rPr>
        <w:t>.</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Earnings Adjustment</w:t>
      </w:r>
      <w:r>
        <w:rPr>
          <w:rFonts w:ascii="Times New Roman;serif" w:hAnsi="Times New Roman;serif"/>
          <w:b w:val="false"/>
          <w:color w:val="000000"/>
          <w:sz w:val="24"/>
        </w:rPr>
        <w:t>. Except as otherwise provided in Section 5.2, as of the last day of each calendar year, each Supplemental RIP Legacy Account shall be adjusted as if such Account were invested at the rate of 12% per annum, compounded annually.</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Distribution</w:t>
      </w:r>
      <w:r>
        <w:rPr>
          <w:rFonts w:ascii="Times New Roman;serif" w:hAnsi="Times New Roman;serif"/>
          <w:b w:val="false"/>
          <w:color w:val="000000"/>
          <w:sz w:val="24"/>
        </w:rPr>
        <w:t>. A Participant with respect to whom a Supplemental RIP Legacy Account has been established under the Plan and whose employment terminates for any reason shall receive distribution of the Participant’s entire Supplemental RIP Legacy Account in one lump sum as soon after such termination of employment as is administratively feasible. The amount distributed shall be the balance of the Participant’s Supplemental RIP Legacy Account as of the preceding December 31</w:t>
      </w:r>
      <w:r>
        <w:rPr>
          <w:rFonts w:ascii="Times New Roman;serif" w:hAnsi="Times New Roman;serif"/>
          <w:b w:val="false"/>
          <w:color w:val="000000"/>
          <w:sz w:val="16"/>
        </w:rPr>
        <w:t>st</w:t>
      </w:r>
      <w:r>
        <w:rPr>
          <w:rFonts w:ascii="Times New Roman;serif" w:hAnsi="Times New Roman;serif"/>
          <w:b w:val="false"/>
          <w:color w:val="000000"/>
          <w:sz w:val="24"/>
        </w:rPr>
        <w:t>, increased by one percent for each completed month in the year of distribution preceding the date on which distribution is made, reduced by any applicable payroll taxes or required tax withholding.</w:t>
      </w:r>
    </w:p>
    <w:p>
      <w:pPr>
        <w:pStyle w:val="TextBody"/>
        <w:bidi w:val="0"/>
        <w:spacing w:lineRule="auto" w:line="240" w:before="0" w:after="240"/>
        <w:jc w:val="center"/>
        <w:rPr/>
      </w:pPr>
      <w:r>
        <w:rPr>
          <w:rFonts w:ascii="Times New Roman;serif" w:hAnsi="Times New Roman;serif"/>
          <w:b/>
          <w:color w:val="000000"/>
          <w:sz w:val="24"/>
        </w:rPr>
        <w:t>ARTICLE 5</w:t>
      </w:r>
      <w:r>
        <w:rPr>
          <w:color w:val="000000"/>
        </w:rPr>
        <w:t xml:space="preserve"> – </w:t>
      </w:r>
      <w:r>
        <w:rPr>
          <w:rFonts w:ascii="Times New Roman;serif" w:hAnsi="Times New Roman;serif"/>
          <w:b w:val="false"/>
          <w:color w:val="000000"/>
          <w:sz w:val="24"/>
        </w:rPr>
        <w:t>BOOK ACCOUNTS</w:t>
      </w:r>
    </w:p>
    <w:p>
      <w:pPr>
        <w:pStyle w:val="TextBody"/>
        <w:bidi w:val="0"/>
        <w:spacing w:lineRule="auto" w:line="240" w:before="0" w:after="240"/>
        <w:ind w:left="0" w:right="0" w:firstLine="1440"/>
        <w:jc w:val="left"/>
        <w:rPr/>
      </w:pPr>
      <w:r>
        <w:rPr>
          <w:rFonts w:ascii="Times New Roman;serif" w:hAnsi="Times New Roman;serif"/>
          <w:b w:val="false"/>
          <w:color w:val="000000"/>
          <w:sz w:val="24"/>
        </w:rPr>
        <w:t>5.1.</w:t>
      </w:r>
      <w:r>
        <w:rPr>
          <w:rFonts w:ascii="Times New Roman;serif" w:hAnsi="Times New Roman;serif"/>
          <w:b w:val="false"/>
          <w:color w:val="000000"/>
          <w:sz w:val="24"/>
          <w:u w:val="single"/>
        </w:rPr>
        <w:t>Deferred Compensation Account</w:t>
      </w:r>
      <w:r>
        <w:rPr>
          <w:rFonts w:ascii="Times New Roman;serif" w:hAnsi="Times New Roman;serif"/>
          <w:b w:val="false"/>
          <w:color w:val="000000"/>
          <w:sz w:val="24"/>
        </w:rPr>
        <w:t>. A deferred Compensation Account shall be established for each Outside Director and Eligible Employee when such Outside Director or Eligible Employee becomes a Participant. Compensation deferred pursuant to the Plan shall be credited to the Account on the date such Compensation would otherwise have been payable to the Participant.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5.2.</w:t>
      </w:r>
      <w:r>
        <w:rPr>
          <w:rFonts w:ascii="Times New Roman;serif" w:hAnsi="Times New Roman;serif"/>
          <w:b w:val="false"/>
          <w:color w:val="000000"/>
          <w:sz w:val="24"/>
          <w:u w:val="single"/>
        </w:rPr>
        <w:t>Crediting of Income, Gains and Losses on Accounts</w:t>
      </w:r>
      <w:r>
        <w:rPr>
          <w:rFonts w:ascii="Times New Roman;serif" w:hAnsi="Times New Roman;serif"/>
          <w:b w:val="false"/>
          <w:color w:val="000000"/>
          <w:sz w:val="24"/>
        </w:rPr>
        <w:t>.</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In General</w:t>
      </w:r>
      <w:r>
        <w:rPr>
          <w:rFonts w:ascii="Times New Roman;serif" w:hAnsi="Times New Roman;serif"/>
          <w:b w:val="false"/>
          <w:color w:val="000000"/>
          <w:sz w:val="24"/>
        </w:rPr>
        <w:t xml:space="preserve">. Except for amounts credited to the Accounts of Participants who are: </w:t>
      </w:r>
    </w:p>
    <w:p>
      <w:pPr>
        <w:pStyle w:val="TextBody"/>
        <w:bidi w:val="0"/>
        <w:spacing w:lineRule="auto" w:line="240" w:before="0" w:after="240"/>
        <w:ind w:left="0" w:right="0" w:firstLine="2880"/>
        <w:jc w:val="left"/>
        <w:rPr/>
      </w:pPr>
      <w:r>
        <w:rPr>
          <w:rFonts w:ascii="Times New Roman;serif" w:hAnsi="Times New Roman;serif"/>
          <w:b w:val="false"/>
          <w:color w:val="000000"/>
          <w:sz w:val="24"/>
        </w:rPr>
        <w:t>(i)</w:t>
      </w:r>
      <w:r>
        <w:rPr>
          <w:rFonts w:ascii="Times New Roman;serif" w:hAnsi="Times New Roman;serif"/>
          <w:b w:val="false"/>
          <w:color w:val="000000"/>
          <w:sz w:val="24"/>
        </w:rPr>
        <w:t>Outside Directors who have elected to defer the receipt of Compensation payable in the form of Company Stock;</w:t>
      </w:r>
    </w:p>
    <w:p>
      <w:pPr>
        <w:pStyle w:val="TextBody"/>
        <w:bidi w:val="0"/>
        <w:spacing w:lineRule="auto" w:line="240" w:before="0" w:after="240"/>
        <w:ind w:left="0" w:right="0" w:firstLine="2880"/>
        <w:jc w:val="left"/>
        <w:rPr/>
      </w:pPr>
      <w:r>
        <w:rPr>
          <w:rFonts w:ascii="Times New Roman;serif" w:hAnsi="Times New Roman;serif"/>
          <w:b w:val="false"/>
          <w:color w:val="000000"/>
          <w:sz w:val="24"/>
        </w:rPr>
        <w:t>(ii)</w:t>
      </w:r>
      <w:r>
        <w:rPr>
          <w:rFonts w:ascii="Times New Roman;serif" w:hAnsi="Times New Roman;serif"/>
          <w:b w:val="false"/>
          <w:color w:val="000000"/>
          <w:sz w:val="24"/>
        </w:rPr>
        <w:t>Outside Directors whose Account has been credited to an Other Investment Fund pursuant to Section 5.2(b)(1)(B)(3);</w:t>
      </w:r>
    </w:p>
    <w:p>
      <w:pPr>
        <w:pStyle w:val="TextBody"/>
        <w:bidi w:val="0"/>
        <w:spacing w:lineRule="auto" w:line="240" w:before="0" w:after="240"/>
        <w:ind w:left="0" w:right="0" w:firstLine="2880"/>
        <w:jc w:val="left"/>
        <w:rPr/>
      </w:pPr>
      <w:r>
        <w:rPr>
          <w:rFonts w:ascii="Times New Roman;serif" w:hAnsi="Times New Roman;serif"/>
          <w:b w:val="false"/>
          <w:color w:val="000000"/>
          <w:sz w:val="24"/>
        </w:rPr>
        <w:t>(iii)</w:t>
      </w:r>
      <w:r>
        <w:rPr>
          <w:rFonts w:ascii="Times New Roman;serif" w:hAnsi="Times New Roman;serif"/>
          <w:b w:val="false"/>
          <w:color w:val="000000"/>
          <w:sz w:val="24"/>
        </w:rPr>
        <w:t xml:space="preserve">Covered Participants whose Account has been credited to an Other Investment Fund pursuant to Section 5.2(b)(1)(B)(4);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87680"/>
                <wp:effectExtent l="0" t="0" r="0" b="0"/>
                <wp:wrapNone/>
                <wp:docPr id="62" name="Frame61"/>
                <a:graphic xmlns:a="http://schemas.openxmlformats.org/drawingml/2006/main">
                  <a:graphicData uri="http://schemas.microsoft.com/office/word/2010/wordprocessingShape">
                    <wps:wsp>
                      <wps:cNvSpPr txBox="1"/>
                      <wps:spPr>
                        <a:xfrm>
                          <a:off x="0" y="0"/>
                          <a:ext cx="6480175" cy="487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v:textbox>
                <w10:wrap type="none"/>
              </v:rect>
            </w:pict>
          </mc:Fallback>
        </mc:AlternateContent>
      </w:r>
    </w:p>
    <w:p>
      <w:pPr>
        <w:pStyle w:val="TextBody"/>
        <w:bidi w:val="0"/>
        <w:spacing w:lineRule="auto" w:line="240" w:before="0" w:after="240"/>
        <w:ind w:left="0" w:right="0" w:firstLine="2880"/>
        <w:jc w:val="left"/>
        <w:rPr/>
      </w:pPr>
      <w:r>
        <w:rPr>
          <w:rFonts w:ascii="Times New Roman;serif" w:hAnsi="Times New Roman;serif"/>
          <w:b w:val="false"/>
          <w:color w:val="000000"/>
          <w:sz w:val="24"/>
        </w:rPr>
        <w:t>(iv)</w:t>
      </w:r>
      <w:r>
        <w:rPr>
          <w:rFonts w:ascii="Times New Roman;serif" w:hAnsi="Times New Roman;serif"/>
          <w:b w:val="false"/>
          <w:color w:val="000000"/>
          <w:sz w:val="24"/>
        </w:rPr>
        <w:t xml:space="preserve">Participants subject to the Income Fund Limit; and </w:t>
      </w:r>
    </w:p>
    <w:p>
      <w:pPr>
        <w:pStyle w:val="TextBody"/>
        <w:bidi w:val="0"/>
        <w:spacing w:lineRule="auto" w:line="240" w:before="0" w:after="240"/>
        <w:ind w:left="0" w:right="0" w:firstLine="2880"/>
        <w:jc w:val="left"/>
        <w:rPr/>
      </w:pPr>
      <w:r>
        <w:rPr>
          <w:rFonts w:ascii="Times New Roman;serif" w:hAnsi="Times New Roman;serif"/>
          <w:b w:val="false"/>
          <w:color w:val="000000"/>
          <w:sz w:val="24"/>
        </w:rPr>
        <w:t>(v)</w:t>
      </w:r>
      <w:r>
        <w:rPr>
          <w:rFonts w:ascii="Times New Roman;serif" w:hAnsi="Times New Roman;serif"/>
          <w:b w:val="false"/>
          <w:color w:val="000000"/>
          <w:sz w:val="24"/>
        </w:rPr>
        <w:t xml:space="preserve">Section 16 Officers who, pursuant to rules established by the Administrator or its delegate, have elected to transfer amounts credited to their Accounts that are deemed to be invested in the Income Fund to an Other Investment Fund; </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all amounts credited to Participants’ Accounts shall be credited with income, gains and losses as if they were invested in the Income Fund.</w:t>
      </w:r>
    </w:p>
    <w:p>
      <w:pPr>
        <w:pStyle w:val="TextBody"/>
        <w:bidi w:val="0"/>
        <w:spacing w:before="0" w:after="0"/>
        <w:jc w:val="left"/>
        <w:rPr/>
      </w:pPr>
      <w:r>
        <w:rPr/>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u w:val="single"/>
        </w:rPr>
        <w:t>Crediting of Income, Gains and Losses on Accounts Subject to Investment Restrictions</w:t>
      </w:r>
      <w:r>
        <w:rPr>
          <w:rFonts w:ascii="Times New Roman;serif" w:hAnsi="Times New Roman;serif"/>
          <w:b w:val="false"/>
          <w:color w:val="000000"/>
          <w:sz w:val="24"/>
        </w:rPr>
        <w:t xml:space="preserve">. </w:t>
      </w:r>
    </w:p>
    <w:p>
      <w:pPr>
        <w:pStyle w:val="TextBody"/>
        <w:bidi w:val="0"/>
        <w:spacing w:lineRule="auto" w:line="240" w:before="0" w:after="240"/>
        <w:ind w:left="0" w:right="0" w:firstLine="2880"/>
        <w:jc w:val="left"/>
        <w:rPr/>
      </w:pPr>
      <w:r>
        <w:rPr>
          <w:rFonts w:ascii="Times New Roman;serif" w:hAnsi="Times New Roman;serif"/>
          <w:b w:val="false"/>
          <w:color w:val="000000"/>
          <w:sz w:val="24"/>
        </w:rPr>
        <w:t>(i)</w:t>
      </w:r>
      <w:r>
        <w:rPr>
          <w:rFonts w:ascii="Times New Roman;serif" w:hAnsi="Times New Roman;serif"/>
          <w:b w:val="false"/>
          <w:color w:val="000000"/>
          <w:sz w:val="24"/>
          <w:u w:val="single"/>
        </w:rPr>
        <w:t>Credits to Other Investment Funds</w:t>
      </w:r>
      <w:r>
        <w:rPr>
          <w:rFonts w:ascii="Times New Roman;serif" w:hAnsi="Times New Roman;serif"/>
          <w:b w:val="false"/>
          <w:color w:val="000000"/>
          <w:sz w:val="24"/>
        </w:rPr>
        <w:t xml:space="preserve">. </w:t>
      </w:r>
    </w:p>
    <w:p>
      <w:pPr>
        <w:pStyle w:val="TextBody"/>
        <w:bidi w:val="0"/>
        <w:spacing w:lineRule="auto" w:line="240" w:before="0" w:after="240"/>
        <w:ind w:left="0" w:right="0" w:firstLine="43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Post-Termination Elections</w:t>
      </w:r>
      <w:r>
        <w:rPr>
          <w:rFonts w:ascii="Times New Roman;serif" w:hAnsi="Times New Roman;serif"/>
          <w:b w:val="false"/>
          <w:color w:val="000000"/>
          <w:sz w:val="24"/>
        </w:rPr>
        <w:t>. The Accounts of Outside Directors and Section 16 Officers whose Subsequent Elections are made after their termination of service in accordance with Section 3.5(a) shall be credited to an Other Investment Fund.</w:t>
      </w:r>
    </w:p>
    <w:p>
      <w:pPr>
        <w:pStyle w:val="TextBody"/>
        <w:bidi w:val="0"/>
        <w:spacing w:lineRule="auto" w:line="240" w:before="0" w:after="240"/>
        <w:ind w:left="0" w:right="0" w:firstLine="43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Participants Whose Income Fund Exceeds the Income Fund Limit</w:t>
      </w:r>
      <w:r>
        <w:rPr>
          <w:rFonts w:ascii="Times New Roman;serif" w:hAnsi="Times New Roman;serif"/>
          <w:b w:val="false"/>
          <w:color w:val="000000"/>
          <w:sz w:val="24"/>
        </w:rPr>
        <w:t>.</w:t>
      </w:r>
    </w:p>
    <w:p>
      <w:pPr>
        <w:pStyle w:val="TextBody"/>
        <w:bidi w:val="0"/>
        <w:spacing w:lineRule="auto" w:line="240" w:before="0" w:after="240"/>
        <w:ind w:left="0" w:right="0" w:firstLine="504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Subsequent Election</w:t>
      </w:r>
      <w:r>
        <w:rPr>
          <w:rFonts w:ascii="Times New Roman;serif" w:hAnsi="Times New Roman;serif"/>
          <w:b w:val="false"/>
          <w:color w:val="000000"/>
          <w:sz w:val="24"/>
        </w:rPr>
        <w:t>. Amounts subject to a Subsequent Election that takes effect when the amount credited to the Income Fund with respect to a Participant exceeds $100 million shall be deemed invested in an Other Investment Fund.</w:t>
      </w:r>
    </w:p>
    <w:p>
      <w:pPr>
        <w:pStyle w:val="TextBody"/>
        <w:bidi w:val="0"/>
        <w:spacing w:lineRule="auto" w:line="240" w:before="0" w:after="240"/>
        <w:ind w:left="0" w:right="0" w:firstLine="504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Year-End Adjustments</w:t>
      </w:r>
      <w:r>
        <w:rPr>
          <w:rFonts w:ascii="Times New Roman;serif" w:hAnsi="Times New Roman;serif"/>
          <w:b w:val="false"/>
          <w:color w:val="000000"/>
          <w:sz w:val="24"/>
        </w:rPr>
        <w:t>. Except with respect to Participants who are subject to Section 5.2(b)(i)(B)(3) or Section 5.2(b)(i)(B)(4), if the amount credited to the Income Fund with respect to a Participant exceeds $100 million as of the last day of a Plan Year, the lesser of (x) the amount credited to the Income Fund with respect to such Participant for such Plan Year or (y) the excess of (I) the amount credited to the Income Fund with respect to such Participant as of the last day of such Plan Year over (II) $100 million shall be transferred to an Other Investment Fund as of such last day.</w:t>
      </w:r>
    </w:p>
    <w:p>
      <w:pPr>
        <w:pStyle w:val="TextBody"/>
        <w:bidi w:val="0"/>
        <w:spacing w:lineRule="auto" w:line="240" w:before="0" w:after="240"/>
        <w:ind w:left="0" w:right="0" w:firstLine="504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Outside Directors</w:t>
      </w:r>
      <w:r>
        <w:rPr>
          <w:rFonts w:ascii="Times New Roman;serif" w:hAnsi="Times New Roman;serif"/>
          <w:b w:val="false"/>
          <w:color w:val="000000"/>
          <w:sz w:val="24"/>
        </w:rPr>
        <w:t>. If an Outside Director’s Income Fund exceeds the Income Fund Limit as of February 28, 2021 and such Outside Director has consented to waive his or her rights with respect to (i) the Applicable Interest Rate applicable to such Outside Director’s Account for purposes of any current or future Initial Elections and Subsequent Elections while such individual is an Outside Director and (ii) the application of Section 10.2 to such Outside Director’s Account, the amount credited to the Outside Director’s Income Fund shall be transferred to an Other Investment Fund as of March 1, 2021, and all amounts credited to the Outside Director’s Account on and after March 1, 2021 shall be deemed invested in an Other Investment Fund. The amount credited to the Income Fund with respect to an individual who has an Account under the Plan and who becomes an Outside Director after March 1, 2021 shall be transferred to an Other Investment Fund as of the first day of the month next following the date such individual becomes an Outside Director, and all amounts credited to the Outside Director’s Account on and after such date shall be deemed invested in an Other Investment Fund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such Outside Director has consented to waive his or her rights with respect to (i) the Applicable Interest Rate applicable to such Outside Director’s Account for purposes of any current or future Initial Elections and Subsequent Elections while such individual is an Outside Director and (ii) the application of Section 10.2 to such Outside Director’s Account).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87680"/>
                <wp:effectExtent l="0" t="0" r="0" b="0"/>
                <wp:wrapNone/>
                <wp:docPr id="63" name="Frame62"/>
                <a:graphic xmlns:a="http://schemas.openxmlformats.org/drawingml/2006/main">
                  <a:graphicData uri="http://schemas.microsoft.com/office/word/2010/wordprocessingShape">
                    <wps:wsp>
                      <wps:cNvSpPr txBox="1"/>
                      <wps:spPr>
                        <a:xfrm>
                          <a:off x="0" y="0"/>
                          <a:ext cx="6480175" cy="487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v:textbox>
                <w10:wrap type="none"/>
              </v:rect>
            </w:pict>
          </mc:Fallback>
        </mc:AlternateContent>
      </w:r>
    </w:p>
    <w:p>
      <w:pPr>
        <w:pStyle w:val="TextBody"/>
        <w:bidi w:val="0"/>
        <w:spacing w:lineRule="auto" w:line="240" w:before="0" w:after="240"/>
        <w:ind w:left="0" w:right="0" w:firstLine="504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Covered Participants</w:t>
      </w:r>
      <w:r>
        <w:rPr>
          <w:rFonts w:ascii="Times New Roman;serif" w:hAnsi="Times New Roman;serif"/>
          <w:b w:val="false"/>
          <w:color w:val="000000"/>
          <w:sz w:val="24"/>
        </w:rPr>
        <w:t>. If a Covered Participant’s Income Fund exceeds the Income Fund Limit as of February 28, 2021 and such Covered Participant has consented to waive his or her rights with respect to (i) the Applicable Interest Rate applicable to such Covered Participant’s Account for purposes of any current or future Initial Elections and Subsequent Elections while such individual is a Covered Participant and (ii) the application of Section 10.2 to such Covered Participant’s Account, the amount credited to the Covered Participant’s Income Fund shall be transferred to an Other Investment Fund as of March 1, 2021, and all amounts credited to the Covered Participant’s Account on and after March 1, 2021 shall be deemed invested in an Other Investment Fund. The amount credited to the Income Fund with respect to an individual who has an Account under the Plan and who becomes Covered Participant after February 28, 2021 shall be transferred to an Other Investment Fund as of the first day of the month next following the date such individual becomes a Covered Participant, and all amounts credited to the Covered Participant’s Account on and after such date shall be deemed invested in an Other Investment Fund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such Covered Participant has consented to waive his or her rights with respect to (i) the Applicable Interest Rate applicable to such Covered Participant’s Account for purposes of any current or future Initial Elections and Subsequent Elections while such individual is a Covered Participant and (ii) the application of Section 10.2 to such Covered Participant’s Account). </w:t>
      </w:r>
    </w:p>
    <w:p>
      <w:pPr>
        <w:pStyle w:val="TextBody"/>
        <w:bidi w:val="0"/>
        <w:spacing w:lineRule="auto" w:line="240" w:before="0" w:after="240"/>
        <w:ind w:left="0" w:right="0" w:firstLine="43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Section 16 Officers</w:t>
      </w:r>
      <w:r>
        <w:rPr>
          <w:rFonts w:ascii="Times New Roman;serif" w:hAnsi="Times New Roman;serif"/>
          <w:b w:val="false"/>
          <w:color w:val="000000"/>
          <w:sz w:val="24"/>
        </w:rPr>
        <w:t xml:space="preserve">. Pursuant to rules established by the Administrator or its delegate, a Section 16 Officer may elect to (x) transfer amounts credited to their Account that are deemed to be invested in the Income Fund to an Other Investment Fund, or (y) transfer amounts credited to their Account that are deemed to be invested in an Other Investment Fund to the Income Fund to the extent that immediately after such transfer, the amount credited to such Section 16 Officer’s Income Fund does not exceed the Income Fund Limit. </w:t>
      </w:r>
    </w:p>
    <w:p>
      <w:pPr>
        <w:pStyle w:val="TextBody"/>
        <w:bidi w:val="0"/>
        <w:spacing w:lineRule="auto" w:line="240" w:before="0" w:after="240"/>
        <w:ind w:left="0" w:right="0" w:firstLine="2880"/>
        <w:jc w:val="left"/>
        <w:rPr/>
      </w:pPr>
      <w:r>
        <w:rPr>
          <w:rFonts w:ascii="Times New Roman;serif" w:hAnsi="Times New Roman;serif"/>
          <w:b w:val="false"/>
          <w:color w:val="000000"/>
          <w:sz w:val="24"/>
        </w:rPr>
        <w:t>(ii)</w:t>
      </w:r>
      <w:r>
        <w:rPr>
          <w:rFonts w:ascii="Times New Roman;serif" w:hAnsi="Times New Roman;serif"/>
          <w:b w:val="false"/>
          <w:color w:val="000000"/>
          <w:sz w:val="24"/>
          <w:u w:val="single"/>
        </w:rPr>
        <w:t>Protocol for Deemed Transfers between Income Fund and an Other Investment Fund</w:t>
      </w:r>
      <w:r>
        <w:rPr>
          <w:rFonts w:ascii="Times New Roman;serif" w:hAnsi="Times New Roman;serif"/>
          <w:b w:val="false"/>
          <w:color w:val="000000"/>
          <w:sz w:val="24"/>
        </w:rPr>
        <w:t xml:space="preserve">. As provided in Article III, the timing of distributions of amounts credited to a Participant’s Account is established pursuant to Initial Elections and Subsequent Elections, and a Participant may elect various distribution dates for amounts subject to Initial Elections and Subsequent Elections. Amounts deemed transferred from the Income Fund to Other Investment Funds as a result of the application of the Income Fund Limit or pursuant to elective transfers described in Section 5.2(b)(i)(C), and amounts deemed transferred from an Other Investment Fund to the Income Fund pursuant to elective transfers described in Section 5.2(b)(i)(C) shall be sourced and allocated on a uniform and consistent basis as determined by the Administrator;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amounts transferred among Funds, and any income, gains or losses credited with respect to such transferred amounts, shall continue to be subject to the distribution timing and manner of distribution election to which such amounts were subject immediately before the deemed transfer. </w:t>
      </w:r>
    </w:p>
    <w:p>
      <w:pPr>
        <w:pStyle w:val="TextBody"/>
        <w:bidi w:val="0"/>
        <w:spacing w:lineRule="auto" w:line="240" w:before="0" w:after="240"/>
        <w:ind w:left="0" w:right="0" w:firstLine="2160"/>
        <w:jc w:val="left"/>
        <w:rPr/>
      </w:pPr>
      <w:r>
        <w:rPr>
          <w:rFonts w:ascii="Times New Roman;serif" w:hAnsi="Times New Roman;serif"/>
          <w:b w:val="false"/>
          <w:color w:val="000000"/>
          <w:sz w:val="24"/>
        </w:rPr>
        <w:t>(c)</w:t>
      </w:r>
      <w:r>
        <w:rPr>
          <w:color w:val="000000"/>
        </w:rPr>
        <w:t xml:space="preserve">     </w:t>
      </w:r>
      <w:r>
        <w:rPr>
          <w:rFonts w:ascii="Times New Roman;serif" w:hAnsi="Times New Roman;serif"/>
          <w:b w:val="false"/>
          <w:color w:val="000000"/>
          <w:sz w:val="24"/>
          <w:u w:val="single"/>
        </w:rPr>
        <w:t>Stock Fund Credits</w:t>
      </w:r>
      <w:r>
        <w:rPr>
          <w:rFonts w:ascii="Times New Roman;serif" w:hAnsi="Times New Roman;serif"/>
          <w:b w:val="false"/>
          <w:color w:val="000000"/>
          <w:sz w:val="24"/>
        </w:rPr>
        <w:t>. Amounts credited to the Accounts of Outside Directors, Covered Participants, and High Balance Participants in the form of Company Stock shall be credited with income, gains and losses as if they were invested in the Company Stock Fund. Except as otherwise provided with respect to Section 16 Officers pursuant to Section 5.2(b)(i)(C) or by the Administrator with respect to Participants who are not Section 16 Officers, no portion of such Participant’s Account may be deemed transferred from the Company Stock Fund to the Income Fund or to an Other Investment Fund. Amounts credited in the form of Company Stock at the time of distribution to the Accounts of (i) Outside Directors and (ii) Participants under circumstances described in Section 5.2(a)(v) shall be distributed in the form of Company Stock, rounded to the nearest lower whole share.</w:t>
      </w:r>
    </w:p>
    <w:p>
      <w:pPr>
        <w:pStyle w:val="TextBody"/>
        <w:bidi w:val="0"/>
        <w:spacing w:lineRule="auto" w:line="240" w:before="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Timing of Credits</w:t>
      </w:r>
      <w:r>
        <w:rPr>
          <w:rFonts w:ascii="Times New Roman;serif" w:hAnsi="Times New Roman;serif"/>
          <w:b w:val="false"/>
          <w:color w:val="000000"/>
          <w:sz w:val="24"/>
        </w:rPr>
        <w:t xml:space="preserve">. Except as otherwise provided in this Section 5.2, Compensation deferred pursuant to the Plan shall be deemed invested in the Income Fund on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87680"/>
                <wp:effectExtent l="0" t="0" r="0" b="0"/>
                <wp:wrapNone/>
                <wp:docPr id="64" name="Frame63"/>
                <a:graphic xmlns:a="http://schemas.openxmlformats.org/drawingml/2006/main">
                  <a:graphicData uri="http://schemas.microsoft.com/office/word/2010/wordprocessingShape">
                    <wps:wsp>
                      <wps:cNvSpPr txBox="1"/>
                      <wps:spPr>
                        <a:xfrm>
                          <a:off x="0" y="0"/>
                          <a:ext cx="6480175" cy="487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4"/>
        </w:rPr>
        <w:t xml:space="preserve">the date such Compensation would otherwise have been payable to the Participant;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(i) Compensation would otherwise have been payable to a Participant on a Company payroll date that falls within five (5) days of the end of a calendar month, and (ii) based on the Administrator’s regular administrative practices, it is not administratively practicable for the Administrator to transmit the deferred amount of such Compensation to the Plan’s recordkeeper on or before the last day of the month, such deferred amount shall not be deemed invested in the Income Fund until the first day of the calendar month next following such Company payroll date. Accumulated Account balances subject to an investment fund election under Section 5.2(b) shall be deemed invested in the applicable investment fund as of the effective date of such election. The value of amounts deemed invested in an Other Investment Fund shall be based on hypothetical purchases and sales of such Other Investment Fund at Fair Market Value as of the effective date of the applicable investment election.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5.3.</w:t>
      </w:r>
      <w:r>
        <w:rPr>
          <w:rFonts w:ascii="Times New Roman;serif" w:hAnsi="Times New Roman;serif"/>
          <w:b w:val="false"/>
          <w:color w:val="000000"/>
          <w:sz w:val="24"/>
          <w:u w:val="single"/>
        </w:rPr>
        <w:t>Status of Deferred Amounts</w:t>
      </w:r>
      <w:r>
        <w:rPr>
          <w:rFonts w:ascii="Times New Roman;serif" w:hAnsi="Times New Roman;serif"/>
          <w:b w:val="false"/>
          <w:color w:val="000000"/>
          <w:sz w:val="24"/>
        </w:rPr>
        <w:t>. Regardless of whether or not the Company is a Participant’s employer, all Compensation deferred under this Plan shall continue for all purposes to be a part of the general funds of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4"/>
        </w:rPr>
        <w:t>5.4.</w:t>
      </w:r>
      <w:r>
        <w:rPr>
          <w:rFonts w:ascii="Times New Roman;serif" w:hAnsi="Times New Roman;serif"/>
          <w:b w:val="false"/>
          <w:color w:val="000000"/>
          <w:sz w:val="24"/>
          <w:u w:val="single"/>
        </w:rPr>
        <w:t>Participants’ Status as General Creditors</w:t>
      </w:r>
      <w:r>
        <w:rPr>
          <w:rFonts w:ascii="Times New Roman;serif" w:hAnsi="Times New Roman;serif"/>
          <w:b w:val="false"/>
          <w:color w:val="000000"/>
          <w:sz w:val="24"/>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pStyle w:val="TextBody"/>
        <w:bidi w:val="0"/>
        <w:spacing w:lineRule="auto" w:line="240" w:before="0" w:after="240"/>
        <w:jc w:val="center"/>
        <w:rPr/>
      </w:pPr>
      <w:r>
        <w:rPr>
          <w:rFonts w:ascii="Times New Roman;serif" w:hAnsi="Times New Roman;serif"/>
          <w:b/>
          <w:color w:val="000000"/>
          <w:sz w:val="24"/>
        </w:rPr>
        <w:t>ARTICLE 6</w:t>
      </w:r>
      <w:r>
        <w:rPr>
          <w:color w:val="000000"/>
        </w:rPr>
        <w:t xml:space="preserve"> – </w:t>
      </w:r>
      <w:r>
        <w:rPr>
          <w:rFonts w:ascii="Times New Roman;serif" w:hAnsi="Times New Roman;serif"/>
          <w:b w:val="false"/>
          <w:color w:val="000000"/>
          <w:sz w:val="24"/>
        </w:rPr>
        <w:t>NO ALIENATION OF BENEFITS; PAYEE DESIGNATION</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Except as otherwise required by applicable law,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a Participant may, with the Administrator’s consent and subject to such procedures and verification requirements as the Administrator may require from time to time, transfer the balances in his or her Account to a grantor trust established by the Participant that is disregarded for federal income tax purposes, under the condition that such balances may not be subsequently deferred following such transfer. Further,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87680"/>
                <wp:effectExtent l="0" t="0" r="0" b="0"/>
                <wp:wrapNone/>
                <wp:docPr id="65" name="Frame64"/>
                <a:graphic xmlns:a="http://schemas.openxmlformats.org/drawingml/2006/main">
                  <a:graphicData uri="http://schemas.microsoft.com/office/word/2010/wordprocessingShape">
                    <wps:wsp>
                      <wps:cNvSpPr txBox="1"/>
                      <wps:spPr>
                        <a:xfrm>
                          <a:off x="0" y="0"/>
                          <a:ext cx="6480175" cy="487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7</w:t>
      </w:r>
      <w:r>
        <w:rPr>
          <w:color w:val="000000"/>
        </w:rPr>
        <w:t xml:space="preserve"> – </w:t>
      </w:r>
      <w:r>
        <w:rPr>
          <w:rFonts w:ascii="Times New Roman;serif" w:hAnsi="Times New Roman;serif"/>
          <w:b w:val="false"/>
          <w:color w:val="000000"/>
          <w:sz w:val="24"/>
        </w:rPr>
        <w:t>DEATH OF PARTICIPANT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7.1.</w:t>
      </w:r>
      <w:r>
        <w:rPr>
          <w:rFonts w:ascii="Times New Roman;serif" w:hAnsi="Times New Roman;serif"/>
          <w:b w:val="false"/>
          <w:color w:val="000000"/>
          <w:sz w:val="24"/>
          <w:u w:val="single"/>
        </w:rPr>
        <w:t>Death of Participant</w:t>
      </w:r>
      <w:r>
        <w:rPr>
          <w:rFonts w:ascii="Times New Roman;serif" w:hAnsi="Times New Roman;serif"/>
          <w:b w:val="false"/>
          <w:color w:val="000000"/>
          <w:sz w:val="24"/>
        </w:rPr>
        <w:t>.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accelerate or defer the time or change the manner of payment pursuant to Section 3.5.</w:t>
      </w:r>
    </w:p>
    <w:p>
      <w:pPr>
        <w:pStyle w:val="TextBody"/>
        <w:bidi w:val="0"/>
        <w:spacing w:lineRule="auto" w:line="240" w:before="0" w:after="240"/>
        <w:ind w:left="0" w:right="0" w:firstLine="1440"/>
        <w:jc w:val="left"/>
        <w:rPr/>
      </w:pPr>
      <w:r>
        <w:rPr>
          <w:rFonts w:ascii="Times New Roman;serif" w:hAnsi="Times New Roman;serif"/>
          <w:b w:val="false"/>
          <w:color w:val="000000"/>
          <w:sz w:val="24"/>
        </w:rPr>
        <w:t>7.2.</w:t>
      </w:r>
      <w:r>
        <w:rPr>
          <w:rFonts w:ascii="Times New Roman;serif" w:hAnsi="Times New Roman;serif"/>
          <w:b w:val="false"/>
          <w:color w:val="000000"/>
          <w:sz w:val="24"/>
          <w:u w:val="single"/>
        </w:rPr>
        <w:t>Designation of Beneficiaries</w:t>
      </w:r>
      <w:r>
        <w:rPr>
          <w:rFonts w:ascii="Times New Roman;serif" w:hAnsi="Times New Roman;serif"/>
          <w:b w:val="false"/>
          <w:color w:val="000000"/>
          <w:sz w:val="24"/>
        </w:rPr>
        <w:t>. Each Participant (and Beneficiary) shall have the right to designate one or more Beneficiaries to receive distributions in the event of the Participant’s (or Beneficiary’s) death by filing with the Administrator a Beneficiary designation on a form that may be prescribed by the Administrator for such purpose from time to time.  The designation of a Beneficiary or Beneficiaries may be changed by a Participant (or Beneficiary) at any time prior to such Participant’s (or Beneficiary’s) death by the delivery to the Administrator of a new Beneficiary designation form. The Administrator may require that only the Beneficiary or Beneficiaries identified on the Beneficiary designation form prescribed by the Administrator be recognized as a Participant’s (or Beneficiary’s) Beneficiary or Beneficiaries under the Plan, and that absent the completion of the currently prescribed Beneficiary designation form, the Participants (or Beneficiary’s) Beneficiary designation shall be the Participant’s (or Beneficiary’s) estate.</w:t>
      </w:r>
    </w:p>
    <w:p>
      <w:pPr>
        <w:pStyle w:val="TextBody"/>
        <w:bidi w:val="0"/>
        <w:spacing w:lineRule="auto" w:line="240" w:before="0" w:after="240"/>
        <w:jc w:val="center"/>
        <w:rPr/>
      </w:pPr>
      <w:r>
        <w:rPr>
          <w:rFonts w:ascii="Times New Roman;serif" w:hAnsi="Times New Roman;serif"/>
          <w:b/>
          <w:color w:val="000000"/>
          <w:sz w:val="24"/>
        </w:rPr>
        <w:t>ARTICLE 8</w:t>
      </w:r>
      <w:r>
        <w:rPr>
          <w:color w:val="000000"/>
        </w:rPr>
        <w:t xml:space="preserve"> – </w:t>
      </w:r>
      <w:r>
        <w:rPr>
          <w:rFonts w:ascii="Times New Roman;serif" w:hAnsi="Times New Roman;serif"/>
          <w:b w:val="false"/>
          <w:color w:val="000000"/>
          <w:sz w:val="24"/>
        </w:rPr>
        <w:t>HARDSHIP DISTRIBUTIONS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Notwithstanding the terms of an Initial Election or Subsequent Election, if, at the Participant’s request, the Board determines that the Participant has incurred a Hardship, the Board may, in its discretion, authorize the immediate distribution of all or any portion of the Participant’s Account.</w:t>
      </w:r>
    </w:p>
    <w:p>
      <w:pPr>
        <w:pStyle w:val="TextBody"/>
        <w:bidi w:val="0"/>
        <w:spacing w:lineRule="auto" w:line="240" w:before="0" w:after="240"/>
        <w:jc w:val="center"/>
        <w:rPr/>
      </w:pPr>
      <w:r>
        <w:rPr>
          <w:rFonts w:ascii="Times New Roman;serif" w:hAnsi="Times New Roman;serif"/>
          <w:b/>
          <w:color w:val="000000"/>
          <w:sz w:val="24"/>
        </w:rPr>
        <w:t>ARTICLE 9</w:t>
      </w:r>
      <w:r>
        <w:rPr>
          <w:color w:val="000000"/>
        </w:rPr>
        <w:t xml:space="preserve"> – </w:t>
      </w:r>
      <w:r>
        <w:rPr>
          <w:rFonts w:ascii="Times New Roman;serif" w:hAnsi="Times New Roman;serif"/>
          <w:b w:val="false"/>
          <w:color w:val="000000"/>
          <w:sz w:val="24"/>
        </w:rPr>
        <w:t>INTERPRETATION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9.1.</w:t>
      </w:r>
      <w:r>
        <w:rPr>
          <w:rFonts w:ascii="Times New Roman;serif" w:hAnsi="Times New Roman;serif"/>
          <w:b w:val="false"/>
          <w:color w:val="000000"/>
          <w:sz w:val="24"/>
          <w:u w:val="single"/>
        </w:rPr>
        <w:t>Authority of Committee</w:t>
      </w:r>
      <w:r>
        <w:rPr>
          <w:rFonts w:ascii="Times New Roman;serif" w:hAnsi="Times New Roman;serif"/>
          <w:b w:val="false"/>
          <w:color w:val="000000"/>
          <w:sz w:val="24"/>
        </w:rPr>
        <w:t>. The Committee shall have full and exclusive authority to construe, interpret and administer this Plan and the Committee’s construction and interpretation thereof shall be binding and conclusive on all persons for all purposes.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9.2.</w:t>
      </w:r>
      <w:r>
        <w:rPr>
          <w:rFonts w:ascii="Times New Roman;serif" w:hAnsi="Times New Roman;serif"/>
          <w:b w:val="false"/>
          <w:color w:val="000000"/>
          <w:sz w:val="24"/>
          <w:u w:val="single"/>
        </w:rPr>
        <w:t>Claims Procedure</w:t>
      </w:r>
      <w:r>
        <w:rPr>
          <w:rFonts w:ascii="Times New Roman;serif" w:hAnsi="Times New Roman;serif"/>
          <w:b w:val="false"/>
          <w:color w:val="000000"/>
          <w:sz w:val="24"/>
        </w:rPr>
        <w:t>. If an individual (hereinafter referred to as the “</w:t>
      </w:r>
      <w:r>
        <w:rPr>
          <w:rFonts w:ascii="Times New Roman;serif" w:hAnsi="Times New Roman;serif"/>
          <w:b w:val="false"/>
          <w:color w:val="000000"/>
          <w:sz w:val="24"/>
          <w:u w:val="single"/>
        </w:rPr>
        <w:t>Applicant</w:t>
      </w:r>
      <w:r>
        <w:rPr>
          <w:rFonts w:ascii="Times New Roman;serif" w:hAnsi="Times New Roman;serif"/>
          <w:b w:val="false"/>
          <w:color w:val="000000"/>
          <w:sz w:val="24"/>
        </w:rPr>
        <w: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An Applicant may file a claim for benefits with the Administrator on a form supplied by the Administrator. If the Administrator wholly or partially denies a claim, the Administrator shall provide the Applicant with a written notice stating:</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The specific reason or reasons for the denial;</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Specific reference to pertinent Plan provisions on which the denial is based;</w:t>
      </w:r>
    </w:p>
    <w:p>
      <w:pPr>
        <w:pStyle w:val="TextBody"/>
        <w:bidi w:val="0"/>
        <w:spacing w:lineRule="auto" w:line="240" w:before="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A description of any additional material or information necessary for the Applicant to perfect the claim and an explanation of why such material or information is necessary; and</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87680"/>
                <wp:effectExtent l="0" t="0" r="0" b="0"/>
                <wp:wrapNone/>
                <wp:docPr id="66" name="Frame65"/>
                <a:graphic xmlns:a="http://schemas.openxmlformats.org/drawingml/2006/main">
                  <a:graphicData uri="http://schemas.microsoft.com/office/word/2010/wordprocessingShape">
                    <wps:wsp>
                      <wps:cNvSpPr txBox="1"/>
                      <wps:spPr>
                        <a:xfrm>
                          <a:off x="0" y="0"/>
                          <a:ext cx="6480175" cy="487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v:textbox>
                <w10:wrap type="none"/>
              </v:rect>
            </w:pict>
          </mc:Fallback>
        </mc:AlternateContent>
      </w:r>
    </w:p>
    <w:p>
      <w:pPr>
        <w:pStyle w:val="TextBody"/>
        <w:bidi w:val="0"/>
        <w:spacing w:lineRule="auto" w:line="240" w:before="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Appropriate information as to the steps to be taken in order to submit a claim for review.</w:t>
      </w:r>
    </w:p>
    <w:p>
      <w:pPr>
        <w:pStyle w:val="TextBody"/>
        <w:bidi w:val="0"/>
        <w:spacing w:lineRule="auto" w:line="288" w:before="0" w:after="240"/>
        <w:jc w:val="left"/>
        <w:rPr/>
      </w:pPr>
      <w:r>
        <w:rPr>
          <w:rFonts w:ascii="Times New Roman;serif" w:hAnsi="Times New Roman;serif"/>
          <w:b w:val="false"/>
          <w:color w:val="000000"/>
          <w:sz w:val="24"/>
        </w:rPr>
        <w:t xml:space="preserve">Written notice of a denial of a claim shall be provided within 90 days of the receipt of the claim;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special circumstances require an extension of time for processing the claim, the Administrator may notify the Applicant in writing that an additional period of up to 90 days will be required to process the claim.</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It is intended that the claims procedures of this Plan be administered in accordance with the claims procedure regulations of the Department of Labor set forth in 29 CFR § 2560.503-1.</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Claims for benefits under the Plan must be filed with the Administrator at the following address: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Comcast Corporation</w:t>
        <w:br/>
        <w:t>One Comcast Center</w:t>
        <w:br/>
        <w:t>1701 John F. Kennedy Boulevard</w:t>
        <w:br/>
        <w:t>Philadelphia, PA 19103</w:t>
        <w:br/>
        <w:t>Attention: Chief Legal Officer &amp; Secretary</w:t>
      </w:r>
    </w:p>
    <w:p>
      <w:pPr>
        <w:pStyle w:val="TextBody"/>
        <w:bidi w:val="0"/>
        <w:spacing w:lineRule="auto" w:line="240" w:before="0" w:after="240"/>
        <w:jc w:val="center"/>
        <w:rPr/>
      </w:pPr>
      <w:r>
        <w:rPr>
          <w:rFonts w:ascii="Times New Roman;serif" w:hAnsi="Times New Roman;serif"/>
          <w:b/>
          <w:color w:val="000000"/>
          <w:sz w:val="24"/>
        </w:rPr>
        <w:t>ARTICLE 10</w:t>
      </w:r>
      <w:r>
        <w:rPr>
          <w:color w:val="000000"/>
        </w:rPr>
        <w:t xml:space="preserve"> – </w:t>
      </w:r>
      <w:r>
        <w:rPr>
          <w:rFonts w:ascii="Times New Roman;serif" w:hAnsi="Times New Roman;serif"/>
          <w:b w:val="false"/>
          <w:color w:val="000000"/>
          <w:sz w:val="24"/>
        </w:rPr>
        <w:t>AMENDMENT OR TERMINATION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10.1.</w:t>
      </w:r>
      <w:r>
        <w:rPr>
          <w:rFonts w:ascii="Times New Roman;serif" w:hAnsi="Times New Roman;serif"/>
          <w:b w:val="false"/>
          <w:color w:val="000000"/>
          <w:sz w:val="24"/>
          <w:u w:val="single"/>
        </w:rPr>
        <w:t>Amendment or Termination</w:t>
      </w:r>
      <w:r>
        <w:rPr>
          <w:rFonts w:ascii="Times New Roman;serif" w:hAnsi="Times New Roman;serif"/>
          <w:b w:val="false"/>
          <w:color w:val="000000"/>
          <w:sz w:val="24"/>
        </w:rPr>
        <w:t>. The Company, by action of the Board or by action of the Committee, shall have the right at any time, or from time to time, to amend or modify this Plan. The Company, by action of the Board, shall have the right, at any time, to terminate this Plan and distribute the Account balance of each Participant in full.</w:t>
      </w:r>
    </w:p>
    <w:p>
      <w:pPr>
        <w:pStyle w:val="TextBody"/>
        <w:bidi w:val="0"/>
        <w:spacing w:lineRule="auto" w:line="240" w:before="0" w:after="240"/>
        <w:ind w:left="0" w:right="0" w:firstLine="1440"/>
        <w:jc w:val="left"/>
        <w:rPr/>
      </w:pPr>
      <w:r>
        <w:rPr>
          <w:rFonts w:ascii="Times New Roman;serif" w:hAnsi="Times New Roman;serif"/>
          <w:b w:val="false"/>
          <w:color w:val="000000"/>
          <w:sz w:val="24"/>
        </w:rPr>
        <w:t>10.2.</w:t>
      </w:r>
      <w:r>
        <w:rPr>
          <w:rFonts w:ascii="Times New Roman;serif" w:hAnsi="Times New Roman;serif"/>
          <w:b w:val="false"/>
          <w:color w:val="000000"/>
          <w:sz w:val="24"/>
          <w:u w:val="single"/>
        </w:rPr>
        <w:t>Amendment of Rate of Credited Earnings</w:t>
      </w:r>
      <w:r>
        <w:rPr>
          <w:rFonts w:ascii="Times New Roman;serif" w:hAnsi="Times New Roman;serif"/>
          <w:b w:val="false"/>
          <w:color w:val="000000"/>
          <w:sz w:val="24"/>
        </w:rPr>
        <w:t>. With respect to any amounts attributable to an Initial Deferral Election, Regular Deferral Election or Subsequent Deferral Election filed before the Restatement Effective Date, no amendment shall change the Applicable Interest Rate with respect to the portion of a Participant’s Account that is attributable to such Initial Election, Regular Deferral Election or Subsequent Election made with respect to Compensation earned in a calendar year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87680"/>
                <wp:effectExtent l="0" t="0" r="0" b="0"/>
                <wp:wrapNone/>
                <wp:docPr id="67" name="Frame66"/>
                <a:graphic xmlns:a="http://schemas.openxmlformats.org/drawingml/2006/main">
                  <a:graphicData uri="http://schemas.microsoft.com/office/word/2010/wordprocessingShape">
                    <wps:wsp>
                      <wps:cNvSpPr txBox="1"/>
                      <wps:spPr>
                        <a:xfrm>
                          <a:off x="0" y="0"/>
                          <a:ext cx="6480175" cy="487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11</w:t>
      </w:r>
      <w:r>
        <w:rPr>
          <w:color w:val="000000"/>
        </w:rPr>
        <w:t xml:space="preserve"> – </w:t>
      </w:r>
      <w:r>
        <w:rPr>
          <w:rFonts w:ascii="Times New Roman;serif" w:hAnsi="Times New Roman;serif"/>
          <w:b w:val="false"/>
          <w:color w:val="000000"/>
          <w:sz w:val="24"/>
        </w:rPr>
        <w:t>WITHHOLDING OF TAXES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pStyle w:val="TextBody"/>
        <w:bidi w:val="0"/>
        <w:spacing w:lineRule="auto" w:line="240" w:before="0" w:after="240"/>
        <w:jc w:val="center"/>
        <w:rPr/>
      </w:pPr>
      <w:r>
        <w:rPr>
          <w:rFonts w:ascii="Times New Roman;serif" w:hAnsi="Times New Roman;serif"/>
          <w:b/>
          <w:color w:val="000000"/>
          <w:sz w:val="24"/>
        </w:rPr>
        <w:t>ARTICLE 12</w:t>
      </w:r>
      <w:r>
        <w:rPr>
          <w:color w:val="000000"/>
        </w:rPr>
        <w:t xml:space="preserve"> – </w:t>
      </w:r>
      <w:r>
        <w:rPr>
          <w:rFonts w:ascii="Times New Roman;serif" w:hAnsi="Times New Roman;serif"/>
          <w:b w:val="false"/>
          <w:color w:val="000000"/>
          <w:sz w:val="24"/>
        </w:rPr>
        <w:t>MISCELLANEOUS PROVISIONS</w:t>
      </w:r>
    </w:p>
    <w:p>
      <w:pPr>
        <w:pStyle w:val="TextBody"/>
        <w:bidi w:val="0"/>
        <w:spacing w:lineRule="auto" w:line="240" w:before="0" w:after="240"/>
        <w:ind w:left="0" w:right="0" w:firstLine="1440"/>
        <w:jc w:val="left"/>
        <w:rPr/>
      </w:pPr>
      <w:r>
        <w:rPr>
          <w:rFonts w:ascii="Times New Roman;serif" w:hAnsi="Times New Roman;serif"/>
          <w:b w:val="false"/>
          <w:color w:val="000000"/>
          <w:sz w:val="24"/>
        </w:rPr>
        <w:t>12.1.</w:t>
      </w:r>
      <w:r>
        <w:rPr>
          <w:rFonts w:ascii="Times New Roman;serif" w:hAnsi="Times New Roman;serif"/>
          <w:b w:val="false"/>
          <w:color w:val="000000"/>
          <w:sz w:val="24"/>
          <w:u w:val="single"/>
        </w:rPr>
        <w:t>No Right to Continued Employment</w:t>
      </w:r>
      <w:r>
        <w:rPr>
          <w:rFonts w:ascii="Times New Roman;serif" w:hAnsi="Times New Roman;serif"/>
          <w:b w:val="false"/>
          <w:color w:val="000000"/>
          <w:sz w:val="24"/>
        </w:rPr>
        <w:t>. Nothing contained herein shall be construed as conferring upon any Participant the right to remain in service as an Outside Director or in the employment of a Participating Company as an executive or in any other capacity.</w:t>
      </w:r>
    </w:p>
    <w:p>
      <w:pPr>
        <w:pStyle w:val="TextBody"/>
        <w:bidi w:val="0"/>
        <w:spacing w:lineRule="auto" w:line="240" w:before="0" w:after="240"/>
        <w:ind w:left="0" w:right="0" w:firstLine="1440"/>
        <w:jc w:val="left"/>
        <w:rPr/>
      </w:pPr>
      <w:r>
        <w:rPr>
          <w:rFonts w:ascii="Times New Roman;serif" w:hAnsi="Times New Roman;serif"/>
          <w:b w:val="false"/>
          <w:color w:val="000000"/>
          <w:sz w:val="24"/>
        </w:rPr>
        <w:t>12.2.</w:t>
      </w:r>
      <w:r>
        <w:rPr>
          <w:rFonts w:ascii="Times New Roman;serif" w:hAnsi="Times New Roman;serif"/>
          <w:b w:val="false"/>
          <w:color w:val="000000"/>
          <w:sz w:val="24"/>
          <w:u w:val="single"/>
        </w:rPr>
        <w:t>Expenses of Plan</w:t>
      </w:r>
      <w:r>
        <w:rPr>
          <w:rFonts w:ascii="Times New Roman;serif" w:hAnsi="Times New Roman;serif"/>
          <w:b w:val="false"/>
          <w:color w:val="000000"/>
          <w:sz w:val="24"/>
        </w:rPr>
        <w:t>. All expenses of the Plan shall be paid by the Participating Companies.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12.3.</w:t>
      </w:r>
      <w:r>
        <w:rPr>
          <w:rFonts w:ascii="Times New Roman;serif" w:hAnsi="Times New Roman;serif"/>
          <w:b w:val="false"/>
          <w:color w:val="000000"/>
          <w:sz w:val="24"/>
          <w:u w:val="single"/>
        </w:rPr>
        <w:t>Gender and Number</w:t>
      </w:r>
      <w:r>
        <w:rPr>
          <w:rFonts w:ascii="Times New Roman;serif" w:hAnsi="Times New Roman;serif"/>
          <w:b w:val="false"/>
          <w:color w:val="000000"/>
          <w:sz w:val="24"/>
        </w:rPr>
        <w:t xml:space="preserve">. Whenever any words are used herein in any specific gender, they shall be construed as though they were also used in any other applicable gender. The singular form, whenever used herein, shall mean or include the plural form, and </w:t>
      </w:r>
      <w:r>
        <w:rPr>
          <w:rFonts w:ascii="Times New Roman;serif" w:hAnsi="Times New Roman;serif"/>
          <w:b w:val="false"/>
          <w:i/>
          <w:color w:val="000000"/>
          <w:sz w:val="24"/>
        </w:rPr>
        <w:t>vice versa</w:t>
      </w:r>
      <w:r>
        <w:rPr>
          <w:rFonts w:ascii="Times New Roman;serif" w:hAnsi="Times New Roman;serif"/>
          <w:b w:val="false"/>
          <w:color w:val="000000"/>
          <w:sz w:val="24"/>
        </w:rPr>
        <w:t>, as the context may require.</w:t>
      </w:r>
    </w:p>
    <w:p>
      <w:pPr>
        <w:pStyle w:val="TextBody"/>
        <w:bidi w:val="0"/>
        <w:spacing w:lineRule="auto" w:line="240" w:before="0" w:after="240"/>
        <w:ind w:left="0" w:right="0" w:firstLine="1440"/>
        <w:jc w:val="left"/>
        <w:rPr/>
      </w:pPr>
      <w:r>
        <w:rPr>
          <w:rFonts w:ascii="Times New Roman;serif" w:hAnsi="Times New Roman;serif"/>
          <w:b w:val="false"/>
          <w:color w:val="000000"/>
          <w:sz w:val="24"/>
        </w:rPr>
        <w:t>12.4.</w:t>
      </w:r>
      <w:r>
        <w:rPr>
          <w:rFonts w:ascii="Times New Roman;serif" w:hAnsi="Times New Roman;serif"/>
          <w:b w:val="false"/>
          <w:color w:val="000000"/>
          <w:sz w:val="24"/>
          <w:u w:val="single"/>
        </w:rPr>
        <w:t>Law Governing Construction</w:t>
      </w:r>
      <w:r>
        <w:rPr>
          <w:rFonts w:ascii="Times New Roman;serif" w:hAnsi="Times New Roman;serif"/>
          <w:b w:val="false"/>
          <w:color w:val="000000"/>
          <w:sz w:val="24"/>
        </w:rPr>
        <w:t>. The construction and administration of the Plan and all questions pertaining thereto, shall be governed by the Employee Retirement Income Security Act of 1974, as amended (“</w:t>
      </w:r>
      <w:r>
        <w:rPr>
          <w:rFonts w:ascii="Times New Roman;serif" w:hAnsi="Times New Roman;serif"/>
          <w:b w:val="false"/>
          <w:color w:val="000000"/>
          <w:sz w:val="24"/>
          <w:u w:val="single"/>
        </w:rPr>
        <w:t>ERISA</w:t>
      </w:r>
      <w:r>
        <w:rPr>
          <w:color w:val="000000"/>
        </w:rPr>
        <w:t>”</w:t>
      </w:r>
      <w:r>
        <w:rPr>
          <w:rFonts w:ascii="Times New Roman;serif" w:hAnsi="Times New Roman;serif"/>
          <w:b w:val="false"/>
          <w:color w:val="000000"/>
          <w:sz w:val="24"/>
        </w:rPr>
        <w:t>), and other applicable federal law and, to the extent not governed by federal law, by the laws of the Commonwealth of Pennsylvania.</w:t>
      </w:r>
    </w:p>
    <w:p>
      <w:pPr>
        <w:pStyle w:val="TextBody"/>
        <w:bidi w:val="0"/>
        <w:spacing w:lineRule="auto" w:line="240" w:before="0" w:after="240"/>
        <w:ind w:left="0" w:right="0" w:firstLine="1440"/>
        <w:jc w:val="left"/>
        <w:rPr/>
      </w:pPr>
      <w:r>
        <w:rPr>
          <w:rFonts w:ascii="Times New Roman;serif" w:hAnsi="Times New Roman;serif"/>
          <w:b w:val="false"/>
          <w:color w:val="000000"/>
          <w:sz w:val="24"/>
        </w:rPr>
        <w:t>12.5.</w:t>
      </w:r>
      <w:r>
        <w:rPr>
          <w:rFonts w:ascii="Times New Roman;serif" w:hAnsi="Times New Roman;serif"/>
          <w:b w:val="false"/>
          <w:color w:val="000000"/>
          <w:sz w:val="24"/>
          <w:u w:val="single"/>
        </w:rPr>
        <w:t>Headings Not a Part Hereof</w:t>
      </w:r>
      <w:r>
        <w:rPr>
          <w:rFonts w:ascii="Times New Roman;serif" w:hAnsi="Times New Roman;serif"/>
          <w:b w:val="false"/>
          <w:color w:val="000000"/>
          <w:sz w:val="24"/>
        </w:rPr>
        <w:t>. Any headings preceding the text of the several Articles, Sections, subsections, or paragraphs hereof are inserted solely for convenience of reference and shall not constitute a part of the Plan, nor shall they affect its meaning, construction, or effect.</w:t>
      </w:r>
    </w:p>
    <w:p>
      <w:pPr>
        <w:pStyle w:val="TextBody"/>
        <w:bidi w:val="0"/>
        <w:spacing w:lineRule="auto" w:line="240" w:before="0" w:after="240"/>
        <w:ind w:left="0" w:right="0" w:firstLine="1440"/>
        <w:jc w:val="left"/>
        <w:rPr/>
      </w:pPr>
      <w:r>
        <w:rPr>
          <w:rFonts w:ascii="Times New Roman;serif" w:hAnsi="Times New Roman;serif"/>
          <w:b w:val="false"/>
          <w:color w:val="000000"/>
          <w:sz w:val="24"/>
        </w:rPr>
        <w:t>12.6.</w:t>
      </w:r>
      <w:r>
        <w:rPr>
          <w:rFonts w:ascii="Times New Roman;serif" w:hAnsi="Times New Roman;serif"/>
          <w:b w:val="false"/>
          <w:color w:val="000000"/>
          <w:sz w:val="24"/>
          <w:u w:val="single"/>
        </w:rPr>
        <w:t>Severability of Provisions</w:t>
      </w:r>
      <w:r>
        <w:rPr>
          <w:rFonts w:ascii="Times New Roman;serif" w:hAnsi="Times New Roman;serif"/>
          <w:b w:val="false"/>
          <w:color w:val="000000"/>
          <w:sz w:val="24"/>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pStyle w:val="TextBody"/>
        <w:bidi w:val="0"/>
        <w:spacing w:lineRule="auto" w:line="240" w:before="0" w:after="240"/>
        <w:ind w:left="0" w:right="0" w:firstLine="1440"/>
        <w:jc w:val="left"/>
        <w:rPr/>
      </w:pPr>
      <w:r>
        <w:rPr>
          <w:rFonts w:ascii="Times New Roman;serif" w:hAnsi="Times New Roman;serif"/>
          <w:b w:val="false"/>
          <w:color w:val="000000"/>
          <w:sz w:val="24"/>
        </w:rPr>
        <w:t>12.7.</w:t>
      </w:r>
      <w:r>
        <w:rPr>
          <w:rFonts w:ascii="Times New Roman;serif" w:hAnsi="Times New Roman;serif"/>
          <w:b w:val="false"/>
          <w:color w:val="000000"/>
          <w:sz w:val="24"/>
          <w:u w:val="single"/>
        </w:rPr>
        <w:t>Transfer to Successor Plans</w:t>
      </w:r>
      <w:r>
        <w:rPr>
          <w:rFonts w:ascii="Times New Roman;serif" w:hAnsi="Times New Roman;serif"/>
          <w:b w:val="false"/>
          <w:color w:val="000000"/>
          <w:sz w:val="24"/>
        </w:rPr>
        <w:t xml:space="preserve">. Without limiting the generality of Section 10.1, the Administrator may, in its sole discretion, cause the Plan to transfer to another nonqualified deferred compensation plan (including, without limitation, in connection with (i) a spin-off, split-off, change in control, asset sale, sale of business, disaffiliation or similar transaction or (ii) the establishment of a separate nonqualified deferred compensation plan by the Company) (A) all or part of the liabilities and assets (if any) associated with Accounts maintained under the Plan and (B) participation rights of any employees or other service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87680"/>
                <wp:effectExtent l="0" t="0" r="0" b="0"/>
                <wp:wrapNone/>
                <wp:docPr id="68" name="Frame67"/>
                <a:graphic xmlns:a="http://schemas.openxmlformats.org/drawingml/2006/main">
                  <a:graphicData uri="http://schemas.microsoft.com/office/word/2010/wordprocessingShape">
                    <wps:wsp>
                      <wps:cNvSpPr txBox="1"/>
                      <wps:spPr>
                        <a:xfrm>
                          <a:off x="0" y="0"/>
                          <a:ext cx="6480175" cy="487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providers who are eligible to participate in the Plan, subject to such terms and conditions (including any rules and procedures) as the Administrator determines in its sole discretion from time to time. Upon the effectiveness of any such transfer, the Plan will have no further liability or obligation with respect to the transferred Accounts. In connection with such transfer, assets under the Plan associated with such transferred Accounts (if any) may be transferred from a rabbi trust established under the Plan (if any) to a successor rabbi trust established for the successor nonqualified deferred compensation plan, to the extent determined by the Administrator in its discretion.</w:t>
      </w:r>
    </w:p>
    <w:p>
      <w:pPr>
        <w:pStyle w:val="TextBody"/>
        <w:bidi w:val="0"/>
        <w:spacing w:lineRule="auto" w:line="240" w:before="0" w:after="240"/>
        <w:jc w:val="center"/>
        <w:rPr/>
      </w:pPr>
      <w:r>
        <w:rPr>
          <w:rFonts w:ascii="Times New Roman;serif" w:hAnsi="Times New Roman;serif"/>
          <w:b/>
          <w:color w:val="000000"/>
          <w:sz w:val="24"/>
        </w:rPr>
        <w:t>ARTICLE 13</w:t>
      </w:r>
      <w:r>
        <w:rPr>
          <w:color w:val="000000"/>
        </w:rPr>
        <w:t xml:space="preserve"> – </w:t>
      </w:r>
      <w:r>
        <w:rPr>
          <w:rFonts w:ascii="Times New Roman;serif" w:hAnsi="Times New Roman;serif"/>
          <w:b w:val="false"/>
          <w:color w:val="000000"/>
          <w:sz w:val="24"/>
        </w:rPr>
        <w:t>EFFECTIVE DATE</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effective date of this amendment and restatement of the Plan shall be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July 13, 2026.</w:t>
      </w:r>
    </w:p>
    <w:p>
      <w:pPr>
        <w:pStyle w:val="TextBody"/>
        <w:bidi w:val="0"/>
        <w:spacing w:before="0" w:after="0"/>
        <w:jc w:val="left"/>
        <w:rPr/>
      </w:pPr>
      <w:r>
        <w:rPr/>
      </w: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87680"/>
                <wp:effectExtent l="0" t="0" r="0" b="0"/>
                <wp:wrapNone/>
                <wp:docPr id="69" name="Frame68"/>
                <a:graphic xmlns:a="http://schemas.openxmlformats.org/drawingml/2006/main">
                  <a:graphicData uri="http://schemas.microsoft.com/office/word/2010/wordprocessingShape">
                    <wps:wsp>
                      <wps:cNvSpPr txBox="1"/>
                      <wps:spPr>
                        <a:xfrm>
                          <a:off x="0" y="0"/>
                          <a:ext cx="6480175" cy="4876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4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#102654022v3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COMCAST CORPORATION</w:t>
        <w:br/>
        <w:t>2005 DEFERRED COMPENSATION PLAN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(As amended and restated effective July 13, 2026)</w:t>
      </w:r>
    </w:p>
    <w:p>
      <w:pPr>
        <w:pStyle w:val="TextBody"/>
        <w:bidi w:val="0"/>
        <w:spacing w:lineRule="auto" w:line="240" w:before="0" w:after="240"/>
        <w:jc w:val="center"/>
        <w:rPr/>
      </w:pPr>
      <w:r>
        <w:rPr>
          <w:rFonts w:ascii="Times New Roman;serif" w:hAnsi="Times New Roman;serif"/>
          <w:b/>
          <w:color w:val="000000"/>
          <w:sz w:val="24"/>
        </w:rPr>
        <w:t>ARTICLE 1</w:t>
      </w:r>
      <w:r>
        <w:rPr>
          <w:color w:val="000000"/>
        </w:rPr>
        <w:t xml:space="preserve"> – </w:t>
      </w:r>
      <w:r>
        <w:rPr>
          <w:rFonts w:ascii="Times New Roman;serif" w:hAnsi="Times New Roman;serif"/>
          <w:b w:val="false"/>
          <w:color w:val="000000"/>
          <w:sz w:val="24"/>
        </w:rPr>
        <w:t>BACKGROUND AND COVERAGE OF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1.1. </w:t>
      </w:r>
      <w:r>
        <w:rPr>
          <w:rFonts w:ascii="Times New Roman;serif" w:hAnsi="Times New Roman;serif"/>
          <w:b w:val="false"/>
          <w:color w:val="000000"/>
          <w:sz w:val="24"/>
          <w:u w:val="single"/>
        </w:rPr>
        <w:t>Background and Adoption of Plan</w:t>
      </w:r>
      <w:r>
        <w:rPr>
          <w:rFonts w:ascii="Times New Roman;serif" w:hAnsi="Times New Roman;serif"/>
          <w:b w:val="false"/>
          <w:color w:val="000000"/>
          <w:sz w:val="24"/>
        </w:rPr>
        <w:t>.</w:t>
      </w:r>
    </w:p>
    <w:p>
      <w:pPr>
        <w:pStyle w:val="TextBody"/>
        <w:bidi w:val="0"/>
        <w:spacing w:lineRule="auto" w:line="240" w:before="0" w:after="240"/>
        <w:ind w:left="0" w:right="0" w:firstLine="2160"/>
        <w:jc w:val="left"/>
        <w:rPr/>
      </w:pPr>
      <w:r>
        <w:rPr>
          <w:rFonts w:ascii="Times New Roman;serif" w:hAnsi="Times New Roman;serif"/>
          <w:b w:val="false"/>
          <w:color w:val="000000"/>
          <w:sz w:val="24"/>
        </w:rPr>
        <w:t>1.1.1.</w:t>
      </w:r>
      <w:r>
        <w:rPr>
          <w:rFonts w:ascii="Times New Roman;serif" w:hAnsi="Times New Roman;serif"/>
          <w:b w:val="false"/>
          <w:color w:val="000000"/>
          <w:sz w:val="24"/>
          <w:u w:val="single"/>
        </w:rPr>
        <w:t>Purpose; Amendment and Restatement</w:t>
      </w:r>
      <w:r>
        <w:rPr>
          <w:rFonts w:ascii="Times New Roman;serif" w:hAnsi="Times New Roman;serif"/>
          <w:b w:val="false"/>
          <w:color w:val="000000"/>
          <w:sz w:val="24"/>
        </w:rPr>
        <w:t>. In recognition of the services provided by certain key employees and in order to make additional retirement benefits and increased financial security available on a tax-favored basis to those individuals, Comcast Corporation, a Pennsylvania corporation, maintains this Comcast Corporation 2005 Deferred Compensation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The Committee hereby amends and restates the Plan effective July 13, 2026 (the “</w:t>
      </w:r>
      <w:r>
        <w:rPr>
          <w:rFonts w:ascii="Times New Roman;serif" w:hAnsi="Times New Roman;serif"/>
          <w:b w:val="false"/>
          <w:color w:val="000000"/>
          <w:sz w:val="24"/>
          <w:u w:val="single"/>
        </w:rPr>
        <w:t>Restatement Effective Date</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2160"/>
        <w:jc w:val="left"/>
        <w:rPr/>
      </w:pPr>
      <w:r>
        <w:rPr>
          <w:rFonts w:ascii="Times New Roman;serif" w:hAnsi="Times New Roman;serif"/>
          <w:b w:val="false"/>
          <w:color w:val="000000"/>
          <w:sz w:val="24"/>
        </w:rPr>
        <w:t>1.1.2.</w:t>
      </w:r>
      <w:r>
        <w:rPr>
          <w:rFonts w:ascii="Times New Roman;serif" w:hAnsi="Times New Roman;serif"/>
          <w:b w:val="false"/>
          <w:color w:val="000000"/>
          <w:sz w:val="24"/>
          <w:u w:val="single"/>
        </w:rPr>
        <w:t>Prior Equity Plan</w:t>
      </w:r>
      <w:r>
        <w:rPr>
          <w:rFonts w:ascii="Times New Roman;serif" w:hAnsi="Times New Roman;serif"/>
          <w:b w:val="false"/>
          <w:color w:val="000000"/>
          <w:sz w:val="24"/>
        </w:rPr>
        <w:t xml:space="preserve">. </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Deferred compensation amounts attributable to Restricted Stock Units granted before July 1, 2023 (the “</w:t>
      </w:r>
      <w:r>
        <w:rPr>
          <w:rFonts w:ascii="Times New Roman;serif" w:hAnsi="Times New Roman;serif"/>
          <w:b w:val="false"/>
          <w:color w:val="000000"/>
          <w:sz w:val="24"/>
          <w:u w:val="single"/>
        </w:rPr>
        <w:t>Plan Merger Date</w:t>
      </w:r>
      <w:r>
        <w:rPr>
          <w:color w:val="000000"/>
        </w:rPr>
        <w:t>”</w:t>
      </w:r>
      <w:r>
        <w:rPr>
          <w:rFonts w:ascii="Times New Roman;serif" w:hAnsi="Times New Roman;serif"/>
          <w:b w:val="false"/>
          <w:color w:val="000000"/>
          <w:sz w:val="24"/>
        </w:rPr>
        <w:t>), and income, gains and losses credited with respect to such amounts, are outstanding under the Comcast Corporation 2002 Restricted Stock Plan (the “</w:t>
      </w:r>
      <w:r>
        <w:rPr>
          <w:rFonts w:ascii="Times New Roman;serif" w:hAnsi="Times New Roman;serif"/>
          <w:b w:val="false"/>
          <w:color w:val="000000"/>
          <w:sz w:val="24"/>
          <w:u w:val="single"/>
        </w:rPr>
        <w:t>Prior Equity Plan</w:t>
      </w:r>
      <w:r>
        <w:rPr>
          <w:color w:val="000000"/>
        </w:rPr>
        <w:t>”</w:t>
      </w:r>
      <w:r>
        <w:rPr>
          <w:rFonts w:ascii="Times New Roman;serif" w:hAnsi="Times New Roman;serif"/>
          <w:b w:val="false"/>
          <w:color w:val="000000"/>
          <w:sz w:val="24"/>
        </w:rPr>
        <w:t xml:space="preserve">) and, to the extent a diversification election was made with respect thereto in accordance with the Prior Equity Plan, are outstanding under the Plan (as in effect immediately prior to the Plan Merger Date), and will remain subject to the terms of the Prior Equity Plan (and, to the extent a diversification election was made with respect thereto, the terms of the Plan as in effect immediately prior to the Plan Merger Date). </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Participants who are RSU Deferral Eligible Employees and Non-Employee Directors may elect to defer the receipt of Restricted Stock Units granted on and after the Plan Merger Date as provided in Part B of Article 3. Restricted Stock Units granted on or after the Plan Merger Date, and income, gains and losses thereon, shall be subject to Initial Deferral Elections, Regular Deferral Elections, and Subsequent Deferral Elections as provided in this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1.2. </w:t>
      </w:r>
      <w:r>
        <w:rPr>
          <w:rFonts w:ascii="Times New Roman;serif" w:hAnsi="Times New Roman;serif"/>
          <w:b w:val="false"/>
          <w:color w:val="000000"/>
          <w:sz w:val="24"/>
          <w:u w:val="single"/>
        </w:rPr>
        <w:t>Section 409A</w:t>
      </w:r>
      <w:r>
        <w:rPr>
          <w:rFonts w:ascii="Times New Roman;serif" w:hAnsi="Times New Roman;serif"/>
          <w:b w:val="false"/>
          <w:color w:val="000000"/>
          <w:sz w:val="24"/>
        </w:rPr>
        <w:t xml:space="preserve">. </w:t>
      </w:r>
    </w:p>
    <w:p>
      <w:pPr>
        <w:pStyle w:val="TextBody"/>
        <w:bidi w:val="0"/>
        <w:spacing w:lineRule="auto" w:line="240" w:before="0" w:after="240"/>
        <w:ind w:left="0" w:right="0" w:firstLine="2160"/>
        <w:jc w:val="left"/>
        <w:rPr/>
      </w:pPr>
      <w:r>
        <w:rPr>
          <w:rFonts w:ascii="Times New Roman;serif" w:hAnsi="Times New Roman;serif"/>
          <w:b w:val="false"/>
          <w:color w:val="000000"/>
          <w:sz w:val="24"/>
        </w:rPr>
        <w:t>1.2.1.</w:t>
      </w:r>
      <w:r>
        <w:rPr>
          <w:rFonts w:ascii="Times New Roman;serif" w:hAnsi="Times New Roman;serif"/>
          <w:b w:val="false"/>
          <w:color w:val="000000"/>
          <w:sz w:val="24"/>
        </w:rPr>
        <w:t>With respect to amounts held under the Plan that are subject to Section 409A, the Plan is intended to comply with the requirements of Section 409A, and the Plan shall be interpreted, administered and operated accordingly. If any provision of the Plan or otherwise would frustrate or conflict with this intent, the provision, term, or condition shall be interpreted and deemed amended so as to avoid any such frustration or conflict. If any amount payable to a Participant under the Plan includes a “series of installment payments” (within the meaning of Treasury Regulation § 1.409A-2(b)(2)(iii)), a Participant’s right to such series of installment payments shall be treated as a right to a series of separate payments and not as a right to a single payment, and if any Award or other amount under the Plan includes “dividend equivalents” (within the meaning of Treasury Regulation § 1.409A-3(e)), a Participant’s right to such dividend equivalents shall be treated separately from the right to other amounts under the Award or other such amount. Notwithstanding the foregoing, the tax treatment of the benefits provided under the Plan, or any applicable Award Agreement, is not warranted or guaranteed, and in no event shall the Company be liable for all or any portion of any taxes, penalties, interest or other expenses that may be incurred by a Participant on account of non-compliance with Section 409A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70" name="Frame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2160"/>
        <w:jc w:val="left"/>
        <w:rPr/>
      </w:pPr>
      <w:r>
        <w:rPr>
          <w:rFonts w:ascii="Times New Roman;serif" w:hAnsi="Times New Roman;serif"/>
          <w:b w:val="false"/>
          <w:color w:val="000000"/>
          <w:sz w:val="24"/>
        </w:rPr>
        <w:t>1.2.2.</w:t>
      </w:r>
      <w:r>
        <w:rPr>
          <w:rFonts w:ascii="Times New Roman;serif" w:hAnsi="Times New Roman;serif"/>
          <w:b w:val="false"/>
          <w:color w:val="000000"/>
          <w:sz w:val="24"/>
        </w:rPr>
        <w:t>In addition to the powers reserved to the Board and the Administrator under Article 10 of the Plan, the Board and the Administrator reserve the right to amend the Plan, either retroactively or prospectively, in whatever respect is required to achieve and maintain compliance with the requirements of Section 409A.</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1.3. </w:t>
      </w:r>
      <w:r>
        <w:rPr>
          <w:rFonts w:ascii="Times New Roman;serif" w:hAnsi="Times New Roman;serif"/>
          <w:b w:val="false"/>
          <w:color w:val="000000"/>
          <w:sz w:val="24"/>
          <w:u w:val="single"/>
        </w:rPr>
        <w:t>Plan Unfunded and Limited to Non-Employee Directors, Directors Emeriti and Select Group of Management or Highly Compensated Employees</w:t>
      </w:r>
      <w:r>
        <w:rPr>
          <w:rFonts w:ascii="Times New Roman;serif" w:hAnsi="Times New Roman;serif"/>
          <w:b w:val="false"/>
          <w:color w:val="000000"/>
          <w:sz w:val="24"/>
        </w:rPr>
        <w:t>. The Plan, including the deferral provisions of Article 3, is unfunded and is maintained primarily for the purpose of providing Non-Employee Directors, Directors Emeriti and a select group of management and other highly compensated employees the opportunity to defer the receipt of compensation otherwise payable to such Non-Employee Directors, Directors Emeriti and eligible employees in accordance with the terms of the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1.4. </w:t>
      </w:r>
      <w:r>
        <w:rPr>
          <w:rFonts w:ascii="Times New Roman;serif" w:hAnsi="Times New Roman;serif"/>
          <w:b w:val="false"/>
          <w:color w:val="000000"/>
          <w:sz w:val="24"/>
          <w:u w:val="single"/>
        </w:rPr>
        <w:t>References to Written Forms, Elections and Notices</w:t>
      </w:r>
      <w:r>
        <w:rPr>
          <w:rFonts w:ascii="Times New Roman;serif" w:hAnsi="Times New Roman;serif"/>
          <w:b w:val="false"/>
          <w:color w:val="000000"/>
          <w:sz w:val="24"/>
        </w:rPr>
        <w:t>. Any action under the Plan that requires a written form, election, notice or other action shall be treated as completed if taken via electronic or other means, to the extent authorized by the Administrator.</w:t>
      </w:r>
    </w:p>
    <w:p>
      <w:pPr>
        <w:pStyle w:val="TextBody"/>
        <w:bidi w:val="0"/>
        <w:spacing w:lineRule="auto" w:line="240" w:before="0" w:after="240"/>
        <w:jc w:val="center"/>
        <w:rPr/>
      </w:pPr>
      <w:r>
        <w:rPr>
          <w:rFonts w:ascii="Times New Roman;serif" w:hAnsi="Times New Roman;serif"/>
          <w:b/>
          <w:color w:val="000000"/>
          <w:sz w:val="24"/>
        </w:rPr>
        <w:t>ARTICLE 2</w:t>
      </w:r>
      <w:r>
        <w:rPr>
          <w:color w:val="000000"/>
        </w:rPr>
        <w:t xml:space="preserve"> – </w:t>
      </w:r>
      <w:r>
        <w:rPr>
          <w:rFonts w:ascii="Times New Roman;serif" w:hAnsi="Times New Roman;serif"/>
          <w:b w:val="false"/>
          <w:color w:val="000000"/>
          <w:sz w:val="24"/>
        </w:rPr>
        <w:t>DEFINITIONS</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2.1. </w:t>
      </w:r>
      <w:r>
        <w:rPr>
          <w:color w:val="000000"/>
        </w:rPr>
        <w:t>“</w:t>
      </w:r>
      <w:r>
        <w:rPr>
          <w:rFonts w:ascii="Times New Roman;serif" w:hAnsi="Times New Roman;serif"/>
          <w:b w:val="false"/>
          <w:color w:val="000000"/>
          <w:sz w:val="24"/>
          <w:u w:val="single"/>
        </w:rPr>
        <w:t>Account</w:t>
      </w:r>
      <w:r>
        <w:rPr>
          <w:color w:val="000000"/>
        </w:rPr>
        <w:t xml:space="preserve">” </w:t>
      </w:r>
      <w:r>
        <w:rPr>
          <w:rFonts w:ascii="Times New Roman;serif" w:hAnsi="Times New Roman;serif"/>
          <w:b w:val="false"/>
          <w:color w:val="000000"/>
          <w:sz w:val="24"/>
        </w:rPr>
        <w:t>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2.2. </w:t>
      </w:r>
      <w:r>
        <w:rPr>
          <w:color w:val="000000"/>
        </w:rPr>
        <w:t>“</w:t>
      </w:r>
      <w:r>
        <w:rPr>
          <w:rFonts w:ascii="Times New Roman;serif" w:hAnsi="Times New Roman;serif"/>
          <w:b w:val="false"/>
          <w:color w:val="000000"/>
          <w:sz w:val="24"/>
          <w:u w:val="single"/>
        </w:rPr>
        <w:t>Active Participant</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2160"/>
        <w:jc w:val="left"/>
        <w:rPr/>
      </w:pPr>
      <w:r>
        <w:rPr>
          <w:rFonts w:ascii="Times New Roman;serif" w:hAnsi="Times New Roman;serif"/>
          <w:b w:val="false"/>
          <w:color w:val="000000"/>
          <w:sz w:val="24"/>
        </w:rPr>
        <w:t>2.2.1.</w:t>
      </w:r>
      <w:r>
        <w:rPr>
          <w:rFonts w:ascii="Times New Roman;serif" w:hAnsi="Times New Roman;serif"/>
          <w:b w:val="false"/>
          <w:color w:val="000000"/>
          <w:sz w:val="24"/>
        </w:rPr>
        <w:t>Each Participant who is in active service as a Non-Employee Director; and</w:t>
      </w:r>
    </w:p>
    <w:p>
      <w:pPr>
        <w:pStyle w:val="TextBody"/>
        <w:bidi w:val="0"/>
        <w:spacing w:lineRule="auto" w:line="240" w:before="0" w:after="240"/>
        <w:ind w:left="0" w:right="0" w:firstLine="2160"/>
        <w:jc w:val="left"/>
        <w:rPr/>
      </w:pPr>
      <w:r>
        <w:rPr>
          <w:rFonts w:ascii="Times New Roman;serif" w:hAnsi="Times New Roman;serif"/>
          <w:b w:val="false"/>
          <w:color w:val="000000"/>
          <w:sz w:val="24"/>
        </w:rPr>
        <w:t>2.2.2.</w:t>
      </w:r>
      <w:r>
        <w:rPr>
          <w:rFonts w:ascii="Times New Roman;serif" w:hAnsi="Times New Roman;serif"/>
          <w:b w:val="false"/>
          <w:color w:val="000000"/>
          <w:sz w:val="24"/>
        </w:rPr>
        <w:t>Each Participant who is actively employed by a Participating Company as an Eligible Employee.</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2.3. </w:t>
      </w:r>
      <w:r>
        <w:rPr>
          <w:color w:val="000000"/>
        </w:rPr>
        <w:t>“</w:t>
      </w:r>
      <w:r>
        <w:rPr>
          <w:rFonts w:ascii="Times New Roman;serif" w:hAnsi="Times New Roman;serif"/>
          <w:b w:val="false"/>
          <w:color w:val="000000"/>
          <w:sz w:val="24"/>
          <w:u w:val="single"/>
        </w:rPr>
        <w:t>Administrator</w:t>
      </w:r>
      <w:r>
        <w:rPr>
          <w:color w:val="000000"/>
        </w:rPr>
        <w:t xml:space="preserve">” </w:t>
      </w:r>
      <w:r>
        <w:rPr>
          <w:rFonts w:ascii="Times New Roman;serif" w:hAnsi="Times New Roman;serif"/>
          <w:b w:val="false"/>
          <w:color w:val="000000"/>
          <w:sz w:val="24"/>
        </w:rPr>
        <w:t>means the Committee or its delegate.</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2.4. </w:t>
      </w: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2.5. </w:t>
      </w:r>
      <w:r>
        <w:rPr>
          <w:color w:val="000000"/>
        </w:rPr>
        <w:t>“</w:t>
      </w:r>
      <w:r>
        <w:rPr>
          <w:rFonts w:ascii="Times New Roman;serif" w:hAnsi="Times New Roman;serif"/>
          <w:b w:val="false"/>
          <w:color w:val="000000"/>
          <w:sz w:val="24"/>
          <w:u w:val="single"/>
        </w:rPr>
        <w:t>Annual Rate of Pay</w:t>
      </w:r>
      <w:r>
        <w:rPr>
          <w:color w:val="000000"/>
        </w:rPr>
        <w:t xml:space="preserve">” </w:t>
      </w:r>
      <w:r>
        <w:rPr>
          <w:rFonts w:ascii="Times New Roman;serif" w:hAnsi="Times New Roman;serif"/>
          <w:b w:val="false"/>
          <w:color w:val="000000"/>
          <w:sz w:val="24"/>
        </w:rPr>
        <w:t>means, as of any date, an employee’s annualized base pay rate. An employee’s Annual Rate of Pay shall not include sales commissions or other similar payments or awards, including payments earned under any sales incentive arrangement for employees of NBCUniversal.</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2.6. </w:t>
      </w:r>
      <w:r>
        <w:rPr>
          <w:color w:val="000000"/>
        </w:rPr>
        <w:t>“</w:t>
      </w:r>
      <w:r>
        <w:rPr>
          <w:rFonts w:ascii="Times New Roman;serif" w:hAnsi="Times New Roman;serif"/>
          <w:b w:val="false"/>
          <w:color w:val="000000"/>
          <w:sz w:val="24"/>
          <w:u w:val="single"/>
        </w:rPr>
        <w:t>Applicable Interest Rate</w:t>
      </w:r>
      <w:r>
        <w:rPr>
          <w:rFonts w:ascii="Times New Roman;serif" w:hAnsi="Times New Roman;serif"/>
          <w:b w:val="false"/>
          <w:color w:val="000000"/>
          <w:sz w:val="24"/>
        </w:rPr>
        <w:t xml:space="preserve">.” </w:t>
      </w:r>
    </w:p>
    <w:p>
      <w:pPr>
        <w:pStyle w:val="TextBody"/>
        <w:bidi w:val="0"/>
        <w:spacing w:lineRule="auto" w:line="240" w:before="0" w:after="240"/>
        <w:ind w:left="0" w:right="0" w:firstLine="2160"/>
        <w:jc w:val="left"/>
        <w:rPr/>
      </w:pPr>
      <w:r>
        <w:rPr>
          <w:rFonts w:ascii="Times New Roman;serif" w:hAnsi="Times New Roman;serif"/>
          <w:b w:val="false"/>
          <w:color w:val="000000"/>
          <w:sz w:val="24"/>
        </w:rPr>
        <w:t>2.6.1.</w:t>
      </w:r>
      <w:r>
        <w:rPr>
          <w:rFonts w:ascii="Times New Roman;serif" w:hAnsi="Times New Roman;serif"/>
          <w:b w:val="false"/>
          <w:color w:val="000000"/>
          <w:sz w:val="24"/>
          <w:u w:val="single"/>
        </w:rPr>
        <w:t>Active Participants</w:t>
      </w:r>
      <w:r>
        <w:rPr>
          <w:rFonts w:ascii="Times New Roman;serif" w:hAnsi="Times New Roman;serif"/>
          <w:b w:val="false"/>
          <w:color w:val="000000"/>
          <w:sz w:val="24"/>
        </w:rPr>
        <w:t xml:space="preserve">. </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Protected Account Balances</w:t>
      </w:r>
      <w:r>
        <w:rPr>
          <w:rFonts w:ascii="Times New Roman;serif" w:hAnsi="Times New Roman;serif"/>
          <w:b w:val="false"/>
          <w:color w:val="000000"/>
          <w:sz w:val="24"/>
        </w:rPr>
        <w:t xml:space="preserve">. Except as otherwise provided in Section 2.6.2, with respect to Protected Account Balances, the term “Applicable Interest Rate”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70890"/>
                <wp:effectExtent l="0" t="0" r="0" b="0"/>
                <wp:wrapNone/>
                <wp:docPr id="71" name="Frame70"/>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means the interest rate that, when compounded daily pursuant to rules established by the Administrator from time to time, is mathematically equivalent to 12% (0.12) per annum, compounded annually.</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Crediting Rate</w:t>
      </w:r>
      <w:r>
        <w:rPr>
          <w:rFonts w:ascii="Times New Roman;serif" w:hAnsi="Times New Roman;serif"/>
          <w:b w:val="false"/>
          <w:color w:val="000000"/>
          <w:sz w:val="24"/>
        </w:rPr>
        <w:t>. Except as otherwise provided in Section 2.6.2, for amounts (other than Protected Account Balances) credited with respect to Initial Deferral Elections, Regular Deferral Elections, or Company Credits, and for amounts credited pursuant to Subsequent Deferral Elections that are attributable to such amounts, the term “Applicable Interest Rate” means the interest rate that, when compounded daily pursuant to rules established by the Administrator from time to time, is mathematically equivalent to 9% (0.09) per annum, compounded annually.</w:t>
      </w:r>
    </w:p>
    <w:p>
      <w:pPr>
        <w:pStyle w:val="TextBody"/>
        <w:bidi w:val="0"/>
        <w:spacing w:lineRule="auto" w:line="240" w:before="0" w:after="240"/>
        <w:ind w:left="0" w:right="0" w:firstLine="2160"/>
        <w:jc w:val="left"/>
        <w:rPr/>
      </w:pPr>
      <w:r>
        <w:rPr>
          <w:rFonts w:ascii="Times New Roman;serif" w:hAnsi="Times New Roman;serif"/>
          <w:b w:val="false"/>
          <w:color w:val="000000"/>
          <w:sz w:val="24"/>
        </w:rPr>
        <w:t>2.6.2.</w:t>
      </w:r>
      <w:r>
        <w:rPr>
          <w:rFonts w:ascii="Times New Roman;serif" w:hAnsi="Times New Roman;serif"/>
          <w:b w:val="false"/>
          <w:color w:val="000000"/>
          <w:sz w:val="24"/>
          <w:u w:val="single"/>
        </w:rPr>
        <w:t>Termination or Transition of Service</w:t>
      </w:r>
      <w:r>
        <w:rPr>
          <w:rFonts w:ascii="Times New Roman;serif" w:hAnsi="Times New Roman;serif"/>
          <w:b w:val="false"/>
          <w:color w:val="000000"/>
          <w:sz w:val="24"/>
        </w:rPr>
        <w:t>. Effective for the period beginning (i) on the effective date of a significant reduction in a Participant’s compensation and services to the Company, as determined by the Administrator in its sole discretion, or (ii) on a Participant’s employment termination date, in each case, and ending on the date the Participant’s Account is distributed in full, unless otherwise determined by the Administrator in its sole discretion, the term “Applicable Interest Rate” for such Participant’s Account shall mean the lesser of (x) the rate in effect under Section 2.6.1 or (y) the Prime Rate plus one percent. A Participant’s re-employment by a Participating Company following an employment termination date shall not affect the Applicable Interest Rate that applies to the part of the Participant’s Account (including interest credited with respect to such part of the Participant’s Account) that was credited before such re-employment date. Notwithstanding the foregoing, the Administrator may delegate its authority to determine the Applicable Interest Rate under this Section 2.6.2 to an officer of the Company or committee of two or more officers of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2.7. </w:t>
      </w:r>
      <w:r>
        <w:rPr>
          <w:color w:val="000000"/>
        </w:rPr>
        <w:t>“</w:t>
      </w:r>
      <w:r>
        <w:rPr>
          <w:rFonts w:ascii="Times New Roman;serif" w:hAnsi="Times New Roman;serif"/>
          <w:b w:val="false"/>
          <w:color w:val="000000"/>
          <w:sz w:val="24"/>
          <w:u w:val="single"/>
        </w:rPr>
        <w:t>Award</w:t>
      </w:r>
      <w:r>
        <w:rPr>
          <w:color w:val="000000"/>
        </w:rPr>
        <w:t xml:space="preserve">” </w:t>
      </w:r>
      <w:r>
        <w:rPr>
          <w:rFonts w:ascii="Times New Roman;serif" w:hAnsi="Times New Roman;serif"/>
          <w:b w:val="false"/>
          <w:color w:val="000000"/>
          <w:sz w:val="24"/>
        </w:rPr>
        <w:t>means an award of Restricted Stock Units granted under the Equity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2.8. </w:t>
      </w:r>
      <w:r>
        <w:rPr>
          <w:color w:val="000000"/>
        </w:rPr>
        <w:t>“</w:t>
      </w:r>
      <w:r>
        <w:rPr>
          <w:rFonts w:ascii="Times New Roman;serif" w:hAnsi="Times New Roman;serif"/>
          <w:b w:val="false"/>
          <w:color w:val="000000"/>
          <w:sz w:val="24"/>
          <w:u w:val="single"/>
        </w:rPr>
        <w:t>Award Agreement</w:t>
      </w:r>
      <w:r>
        <w:rPr>
          <w:color w:val="000000"/>
        </w:rPr>
        <w:t xml:space="preserve">” </w:t>
      </w:r>
      <w:r>
        <w:rPr>
          <w:rFonts w:ascii="Times New Roman;serif" w:hAnsi="Times New Roman;serif"/>
          <w:b w:val="false"/>
          <w:color w:val="000000"/>
          <w:sz w:val="24"/>
        </w:rPr>
        <w:t>means the grant document that includes the specific terms and conditions of an Award.</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2.9. </w:t>
      </w:r>
      <w:r>
        <w:rPr>
          <w:color w:val="000000"/>
        </w:rPr>
        <w:t>“</w:t>
      </w:r>
      <w:r>
        <w:rPr>
          <w:rFonts w:ascii="Times New Roman;serif" w:hAnsi="Times New Roman;serif"/>
          <w:b w:val="false"/>
          <w:color w:val="000000"/>
          <w:sz w:val="24"/>
          <w:u w:val="single"/>
        </w:rPr>
        <w:t>Beneficiary</w:t>
      </w:r>
      <w:r>
        <w:rPr>
          <w:color w:val="000000"/>
        </w:rPr>
        <w:t xml:space="preserve">” </w:t>
      </w:r>
      <w:r>
        <w:rPr>
          <w:rFonts w:ascii="Times New Roman;serif" w:hAnsi="Times New Roman;serif"/>
          <w:b w:val="false"/>
          <w:color w:val="000000"/>
          <w:sz w:val="24"/>
        </w:rPr>
        <w:t>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estate, and the Beneficiary of a Beneficiary shall be the Beneficiary’s estate.</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2.10. </w:t>
      </w:r>
      <w:r>
        <w:rPr>
          <w:color w:val="000000"/>
        </w:rPr>
        <w:t>“</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2.11. </w:t>
      </w:r>
      <w:r>
        <w:rPr>
          <w:color w:val="000000"/>
        </w:rPr>
        <w:t>“</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means any transaction or series of transactions that constitutes a change in the ownership or effective control or a change in the ownership of a substantial portion of the assets of the Company, within the meaning of Section 409A.</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2.12. </w:t>
      </w: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2.13. </w:t>
      </w:r>
      <w:r>
        <w:rPr>
          <w:color w:val="000000"/>
        </w:rPr>
        <w:t>“</w:t>
      </w:r>
      <w:r>
        <w:rPr>
          <w:rFonts w:ascii="Times New Roman;serif" w:hAnsi="Times New Roman;serif"/>
          <w:b w:val="false"/>
          <w:color w:val="000000"/>
          <w:sz w:val="24"/>
          <w:u w:val="single"/>
        </w:rPr>
        <w:t>Comcast Spectacor</w:t>
      </w:r>
      <w:r>
        <w:rPr>
          <w:color w:val="000000"/>
        </w:rPr>
        <w:t xml:space="preserve">” </w:t>
      </w:r>
      <w:r>
        <w:rPr>
          <w:rFonts w:ascii="Times New Roman;serif" w:hAnsi="Times New Roman;serif"/>
          <w:b w:val="false"/>
          <w:color w:val="000000"/>
          <w:sz w:val="24"/>
        </w:rPr>
        <w:t xml:space="preserve">means Comcast Spectacor, LLC. </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2.14. </w:t>
      </w:r>
      <w:r>
        <w:rPr>
          <w:color w:val="000000"/>
        </w:rPr>
        <w:t>“</w:t>
      </w:r>
      <w:r>
        <w:rPr>
          <w:rFonts w:ascii="Times New Roman;serif" w:hAnsi="Times New Roman;serif"/>
          <w:b w:val="false"/>
          <w:color w:val="000000"/>
          <w:sz w:val="24"/>
          <w:u w:val="single"/>
        </w:rPr>
        <w:t>Committee</w:t>
      </w:r>
      <w:r>
        <w:rPr>
          <w:color w:val="000000"/>
        </w:rPr>
        <w:t xml:space="preserve">” </w:t>
      </w:r>
      <w:r>
        <w:rPr>
          <w:rFonts w:ascii="Times New Roman;serif" w:hAnsi="Times New Roman;serif"/>
          <w:b w:val="false"/>
          <w:color w:val="000000"/>
          <w:sz w:val="24"/>
        </w:rPr>
        <w:t>means the Compensation and Human Capital Committee of the Board.</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70890"/>
                <wp:effectExtent l="0" t="0" r="0" b="0"/>
                <wp:wrapNone/>
                <wp:docPr id="72" name="Frame71"/>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2.15. </w:t>
      </w:r>
      <w:r>
        <w:rPr>
          <w:color w:val="000000"/>
        </w:rPr>
        <w:t>“</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means Comcast Corporation, a Pennsylvania corporation, including any successor thereto by merger, consolidation, acquisition of all or substantially all the assets thereof, or otherwise.</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2.16. </w:t>
      </w:r>
      <w:r>
        <w:rPr>
          <w:color w:val="000000"/>
        </w:rPr>
        <w:t>“</w:t>
      </w:r>
      <w:r>
        <w:rPr>
          <w:rFonts w:ascii="Times New Roman;serif" w:hAnsi="Times New Roman;serif"/>
          <w:b w:val="false"/>
          <w:color w:val="000000"/>
          <w:sz w:val="24"/>
          <w:u w:val="single"/>
        </w:rPr>
        <w:t>Company Credits</w:t>
      </w:r>
      <w:r>
        <w:rPr>
          <w:color w:val="000000"/>
        </w:rPr>
        <w:t xml:space="preserve">” </w:t>
      </w:r>
      <w:r>
        <w:rPr>
          <w:rFonts w:ascii="Times New Roman;serif" w:hAnsi="Times New Roman;serif"/>
          <w:b w:val="false"/>
          <w:color w:val="000000"/>
          <w:sz w:val="24"/>
        </w:rPr>
        <w:t>means amounts credited to a Participant’s Account that were approved before March 1, 2021 pursuant to provisions of the Plan that were in effect before the Plan Merger Date.</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2.17. </w:t>
      </w:r>
      <w:r>
        <w:rPr>
          <w:color w:val="000000"/>
        </w:rPr>
        <w:t>“</w:t>
      </w:r>
      <w:r>
        <w:rPr>
          <w:rFonts w:ascii="Times New Roman;serif" w:hAnsi="Times New Roman;serif"/>
          <w:b w:val="false"/>
          <w:color w:val="000000"/>
          <w:sz w:val="24"/>
          <w:u w:val="single"/>
        </w:rPr>
        <w:t>Company Stock</w:t>
      </w:r>
      <w:r>
        <w:rPr>
          <w:color w:val="000000"/>
        </w:rPr>
        <w:t xml:space="preserve">” </w:t>
      </w:r>
      <w:r>
        <w:rPr>
          <w:rFonts w:ascii="Times New Roman;serif" w:hAnsi="Times New Roman;serif"/>
          <w:b w:val="false"/>
          <w:color w:val="000000"/>
          <w:sz w:val="24"/>
        </w:rPr>
        <w:t>means, with respect to amounts credited to the Company Stock Fund, (i) as Deferred Stock Units, (ii) pursuant to deferral elections by Non-Employee Directors or Directors Emeriti made pursuant to Section 3.1(a), and (iii) pursuant to deemed transfers pursuant to Article 5, Shares and such other securities issued by the Company as may be subject to adjustment in the event that Shares are changed into, or exchanged for, a different number or kind of shares of stock or other securities, whether through merger, consolidation, reorganization, recapitalization, stock dividend, stock split-up or other substitution of securities of the Company. In such event, the Administrator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2.17. The Administrator’s adjustment shall be effective and binding for all purposes of the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2.18. </w:t>
      </w:r>
      <w:r>
        <w:rPr>
          <w:color w:val="000000"/>
        </w:rPr>
        <w:t>“</w:t>
      </w:r>
      <w:r>
        <w:rPr>
          <w:rFonts w:ascii="Times New Roman;serif" w:hAnsi="Times New Roman;serif"/>
          <w:b w:val="false"/>
          <w:color w:val="000000"/>
          <w:sz w:val="24"/>
          <w:u w:val="single"/>
        </w:rPr>
        <w:t>Company Stock Fund</w:t>
      </w:r>
      <w:r>
        <w:rPr>
          <w:color w:val="000000"/>
        </w:rPr>
        <w:t xml:space="preserve">” </w:t>
      </w:r>
      <w:r>
        <w:rPr>
          <w:rFonts w:ascii="Times New Roman;serif" w:hAnsi="Times New Roman;serif"/>
          <w:b w:val="false"/>
          <w:color w:val="000000"/>
          <w:sz w:val="24"/>
        </w:rPr>
        <w:t xml:space="preserve">means a hypothetical investment fund pursuant to which income, gains and losses are credited to a Participant’s Account as if the Account, to the extent deemed invested in the Company Stock Fund, were invested in hypothetical shares of Company Stock. All dividends and other distributions paid with respect to Company Stock shall be credited to an Other Investment Fund as a hypothetical purchase on the applicable dividend or distribution payment date;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with respect to Deferred Stock Units, including Company Stock credited to the Accounts of Non-Employee Directors, dividends and other distributions shall be credited to the Company Stock Fund as a hypothetical purchase of Company Stock at Fair Market Value on the applicable dividend or distribution payment date; </w:t>
      </w:r>
      <w:r>
        <w:rPr>
          <w:rFonts w:ascii="Times New Roman;serif" w:hAnsi="Times New Roman;serif"/>
          <w:b w:val="false"/>
          <w:i/>
          <w:color w:val="000000"/>
          <w:sz w:val="24"/>
        </w:rPr>
        <w:t>provided further</w:t>
      </w:r>
      <w:r>
        <w:rPr>
          <w:color w:val="000000"/>
        </w:rPr>
        <w:t xml:space="preserve"> </w:t>
      </w:r>
      <w:r>
        <w:rPr>
          <w:rFonts w:ascii="Times New Roman;serif" w:hAnsi="Times New Roman;serif"/>
          <w:b w:val="false"/>
          <w:color w:val="000000"/>
          <w:sz w:val="24"/>
        </w:rPr>
        <w:t>that any such dividends and other distributions shall be subject to the same vesting terms and conditions (including performance goals) as are applicable to the Deferred Stock Units (if any) in accordance with the terms of the Equity Plan and the applicable Award Agreement. Except to the extent provided by Section 5.2(b)(i)(C) with respect to Section 16 Officers or by the Administrator with respect to Participants who are not Section 16 Officers, amounts credited to the Company Stock Fund may not thereafter be transferred to the Income Fund or another Other Investment Fund. To the extent a distribution of a Participant’s Account is attributable to amounts credited to the Company Stock Fund (i) as Deferred Stock Units that have never been the subject of a completed Diversification Election or (ii) under circumstances described in Section 3.10.2(a) and 5.2(a)(vi), distributions shall be made in the form of shares of Company Stock. All other distributions of Account balances shall be made in cash.</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2.19. </w:t>
      </w:r>
      <w:r>
        <w:rPr>
          <w:color w:val="000000"/>
        </w:rPr>
        <w:t>“</w:t>
      </w:r>
      <w:r>
        <w:rPr>
          <w:rFonts w:ascii="Times New Roman;serif" w:hAnsi="Times New Roman;serif"/>
          <w:b w:val="false"/>
          <w:color w:val="000000"/>
          <w:sz w:val="24"/>
          <w:u w:val="single"/>
        </w:rPr>
        <w:t>Compensation</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2160"/>
        <w:jc w:val="left"/>
        <w:rPr/>
      </w:pPr>
      <w:r>
        <w:rPr>
          <w:rFonts w:ascii="Times New Roman;serif" w:hAnsi="Times New Roman;serif"/>
          <w:b w:val="false"/>
          <w:color w:val="000000"/>
          <w:sz w:val="24"/>
        </w:rPr>
        <w:t>2.19.1.</w:t>
      </w:r>
      <w:r>
        <w:rPr>
          <w:rFonts w:ascii="Times New Roman;serif" w:hAnsi="Times New Roman;serif"/>
          <w:b w:val="false"/>
          <w:color w:val="000000"/>
          <w:sz w:val="24"/>
        </w:rPr>
        <w:t xml:space="preserve">In the case of a Non-Employee Director, the total remuneration payable in cash or payable in Company Stock (as elected by a Non-Employee Director pursuant to the Comcast Corporation 2002 Non-Employee Director Compensation Plan) for services as a member of the Board and as a member of any committee of the Board and in the case of a Director Emeritus, the total remuneration payable in cash for services to the Board. </w:t>
      </w:r>
    </w:p>
    <w:p>
      <w:pPr>
        <w:pStyle w:val="TextBody"/>
        <w:bidi w:val="0"/>
        <w:spacing w:lineRule="auto" w:line="240" w:before="0" w:after="240"/>
        <w:ind w:left="0" w:right="0" w:firstLine="2160"/>
        <w:jc w:val="left"/>
        <w:rPr/>
      </w:pPr>
      <w:r>
        <w:rPr>
          <w:rFonts w:ascii="Times New Roman;serif" w:hAnsi="Times New Roman;serif"/>
          <w:b w:val="false"/>
          <w:color w:val="000000"/>
          <w:sz w:val="24"/>
        </w:rPr>
        <w:t>2.19.2.</w:t>
      </w:r>
      <w:r>
        <w:rPr>
          <w:rFonts w:ascii="Times New Roman;serif" w:hAnsi="Times New Roman;serif"/>
          <w:b w:val="false"/>
          <w:color w:val="000000"/>
          <w:sz w:val="24"/>
        </w:rPr>
        <w:t xml:space="preserve">In the case of an Eligible Employee, the total cash remuneration for services payable by a Participating Company, excluding (i) Severance Pay, (ii) sales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70890"/>
                <wp:effectExtent l="0" t="0" r="0" b="0"/>
                <wp:wrapNone/>
                <wp:docPr id="73" name="Frame72"/>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commissions or other similar payments or awards other than cash bonus arrangements described in Section 2.19.3, (iii) and except as otherwise provided by the Administrator, spot bonuses or retention bonuses. For purposes of Section 2.42, the term “Compensation” shall not include cash remuneration for services payable by a Participating Company for services performed outside of the United States unless otherwise determined by the Administrator with respect to a Participant. </w:t>
      </w:r>
    </w:p>
    <w:p>
      <w:pPr>
        <w:pStyle w:val="TextBody"/>
        <w:bidi w:val="0"/>
        <w:spacing w:lineRule="auto" w:line="240" w:before="0" w:after="240"/>
        <w:ind w:left="0" w:right="0" w:firstLine="2160"/>
        <w:jc w:val="left"/>
        <w:rPr/>
      </w:pPr>
      <w:r>
        <w:rPr>
          <w:rFonts w:ascii="Times New Roman;serif" w:hAnsi="Times New Roman;serif"/>
          <w:b w:val="false"/>
          <w:color w:val="000000"/>
          <w:sz w:val="24"/>
        </w:rPr>
        <w:t>2.19.3.</w:t>
      </w:r>
      <w:r>
        <w:rPr>
          <w:rFonts w:ascii="Times New Roman;serif" w:hAnsi="Times New Roman;serif"/>
          <w:b w:val="false"/>
          <w:color w:val="000000"/>
          <w:sz w:val="24"/>
        </w:rPr>
        <w:t xml:space="preserve">Except as otherwise provided by the Administrator, in the case of an Eligible Employee who is employed by NBCUniversal, the term “Compensation” shall include cash bonuses earned under any cash bonus arrangement under which there is a defined sales incentive target goal and target payout that provides for payment on a quarterly, semi-annual or annual basis;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cash bonus arrangement is the exclusive cash bonus arrangement in which such Eligible Employee is eligible to participate.</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2.20. </w:t>
      </w:r>
      <w:r>
        <w:rPr>
          <w:color w:val="000000"/>
        </w:rPr>
        <w:t>“</w:t>
      </w:r>
      <w:r>
        <w:rPr>
          <w:rFonts w:ascii="Times New Roman;serif" w:hAnsi="Times New Roman;serif"/>
          <w:b w:val="false"/>
          <w:color w:val="000000"/>
          <w:sz w:val="24"/>
          <w:u w:val="single"/>
        </w:rPr>
        <w:t>Contribution Limit</w:t>
      </w:r>
      <w:r>
        <w:rPr>
          <w:color w:val="000000"/>
        </w:rPr>
        <w:t xml:space="preserve">” </w:t>
      </w:r>
      <w:r>
        <w:rPr>
          <w:rFonts w:ascii="Times New Roman;serif" w:hAnsi="Times New Roman;serif"/>
          <w:b w:val="false"/>
          <w:color w:val="000000"/>
          <w:sz w:val="24"/>
        </w:rPr>
        <w:t>means the product of (i) five (5) times (ii) Total Compensation.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2.21. </w:t>
      </w:r>
      <w:r>
        <w:rPr>
          <w:color w:val="000000"/>
        </w:rPr>
        <w:t>“</w:t>
      </w:r>
      <w:r>
        <w:rPr>
          <w:rFonts w:ascii="Times New Roman;serif" w:hAnsi="Times New Roman;serif"/>
          <w:b w:val="false"/>
          <w:color w:val="000000"/>
          <w:sz w:val="24"/>
          <w:u w:val="single"/>
        </w:rPr>
        <w:t>Covered Participant</w:t>
      </w:r>
      <w:r>
        <w:rPr>
          <w:color w:val="000000"/>
        </w:rPr>
        <w:t xml:space="preserve">” </w:t>
      </w:r>
      <w:r>
        <w:rPr>
          <w:rFonts w:ascii="Times New Roman;serif" w:hAnsi="Times New Roman;serif"/>
          <w:b w:val="false"/>
          <w:color w:val="000000"/>
          <w:sz w:val="24"/>
        </w:rPr>
        <w:t>means, as of any relevant date of determination, (i) any executive officer of the Company within the meaning of Rule 3b-7 of the Securities Exchange Act of 1934, as amended (the “</w:t>
      </w:r>
      <w:r>
        <w:rPr>
          <w:rFonts w:ascii="Times New Roman;serif" w:hAnsi="Times New Roman;serif"/>
          <w:b w:val="false"/>
          <w:color w:val="000000"/>
          <w:sz w:val="24"/>
          <w:u w:val="single"/>
        </w:rPr>
        <w:t>1934 Act</w:t>
      </w:r>
      <w:r>
        <w:rPr>
          <w:color w:val="000000"/>
        </w:rPr>
        <w:t>”</w:t>
      </w:r>
      <w:r>
        <w:rPr>
          <w:rFonts w:ascii="Times New Roman;serif" w:hAnsi="Times New Roman;serif"/>
          <w:b w:val="false"/>
          <w:color w:val="000000"/>
          <w:sz w:val="24"/>
        </w:rPr>
        <w:t>), for whom disclosure was required pursuant to Item 402 of SEC Regulation S-K in the Company’s most recent filing with the SEC under the 1934 Act, and (ii) any other individual, as determined by the Administrator in its discretion.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2.22. </w:t>
      </w:r>
      <w:r>
        <w:rPr>
          <w:color w:val="000000"/>
        </w:rPr>
        <w:t>“</w:t>
      </w:r>
      <w:r>
        <w:rPr>
          <w:rFonts w:ascii="Times New Roman;serif" w:hAnsi="Times New Roman;serif"/>
          <w:b w:val="false"/>
          <w:color w:val="000000"/>
          <w:sz w:val="24"/>
          <w:u w:val="single"/>
        </w:rPr>
        <w:t>Deceased Participant</w:t>
      </w:r>
      <w:r>
        <w:rPr>
          <w:color w:val="000000"/>
        </w:rPr>
        <w:t xml:space="preserve">” </w:t>
      </w:r>
      <w:r>
        <w:rPr>
          <w:rFonts w:ascii="Times New Roman;serif" w:hAnsi="Times New Roman;serif"/>
          <w:b w:val="false"/>
          <w:color w:val="000000"/>
          <w:sz w:val="24"/>
        </w:rPr>
        <w:t>means a Participant whose employment, or, in the case of a Participant who was a Non-Employee Director or Director Emeritus, whose service as a Non-Employee Director or Director Emeritus, is terminated by death.</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2.23. </w:t>
      </w:r>
      <w:r>
        <w:rPr>
          <w:color w:val="000000"/>
        </w:rPr>
        <w:t>“</w:t>
      </w:r>
      <w:r>
        <w:rPr>
          <w:rFonts w:ascii="Times New Roman;serif" w:hAnsi="Times New Roman;serif"/>
          <w:b w:val="false"/>
          <w:color w:val="000000"/>
          <w:sz w:val="24"/>
          <w:u w:val="single"/>
        </w:rPr>
        <w:t>Deferred Stock Units</w:t>
      </w:r>
      <w:r>
        <w:rPr>
          <w:color w:val="000000"/>
        </w:rPr>
        <w:t xml:space="preserve">” </w:t>
      </w:r>
      <w:r>
        <w:rPr>
          <w:rFonts w:ascii="Times New Roman;serif" w:hAnsi="Times New Roman;serif"/>
          <w:b w:val="false"/>
          <w:color w:val="000000"/>
          <w:sz w:val="24"/>
        </w:rPr>
        <w:t>means the number of hypothetical Shares subject to the portion of an Award covered by an Election.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2.24. </w:t>
      </w:r>
      <w:r>
        <w:rPr>
          <w:color w:val="000000"/>
        </w:rPr>
        <w:t>“</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2160"/>
        <w:jc w:val="left"/>
        <w:rPr/>
      </w:pPr>
      <w:r>
        <w:rPr>
          <w:rFonts w:ascii="Times New Roman;serif" w:hAnsi="Times New Roman;serif"/>
          <w:b w:val="false"/>
          <w:color w:val="000000"/>
          <w:sz w:val="24"/>
        </w:rPr>
        <w:t>2.24.1.</w:t>
      </w:r>
      <w:r>
        <w:rPr>
          <w:rFonts w:ascii="Times New Roman;serif" w:hAnsi="Times New Roman;serif"/>
          <w:b w:val="false"/>
          <w:color w:val="000000"/>
          <w:sz w:val="24"/>
        </w:rPr>
        <w:t xml:space="preserve">An individual’s inability to engage in any substantial gainful activity by reason of any medically determinable physical or mental impairment which can be expected to result in death or can be expected to last for a continuous period of not less than 12 months; </w:t>
      </w:r>
    </w:p>
    <w:p>
      <w:pPr>
        <w:pStyle w:val="TextBody"/>
        <w:bidi w:val="0"/>
        <w:spacing w:lineRule="auto" w:line="240" w:before="0" w:after="240"/>
        <w:ind w:left="0" w:right="0" w:firstLine="2160"/>
        <w:jc w:val="left"/>
        <w:rPr/>
      </w:pPr>
      <w:r>
        <w:rPr>
          <w:rFonts w:ascii="Times New Roman;serif" w:hAnsi="Times New Roman;serif"/>
          <w:b w:val="false"/>
          <w:color w:val="000000"/>
          <w:sz w:val="24"/>
        </w:rPr>
        <w:t>2.24.2.</w:t>
      </w:r>
      <w:r>
        <w:rPr>
          <w:rFonts w:ascii="Times New Roman;serif" w:hAnsi="Times New Roman;serif"/>
          <w:b w:val="false"/>
          <w:color w:val="000000"/>
          <w:sz w:val="24"/>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 or</w:t>
      </w:r>
    </w:p>
    <w:p>
      <w:pPr>
        <w:pStyle w:val="TextBody"/>
        <w:bidi w:val="0"/>
        <w:spacing w:lineRule="auto" w:line="240" w:before="0" w:after="240"/>
        <w:ind w:left="0" w:right="0" w:firstLine="2160"/>
        <w:jc w:val="left"/>
        <w:rPr/>
      </w:pPr>
      <w:r>
        <w:rPr>
          <w:rFonts w:ascii="Times New Roman;serif" w:hAnsi="Times New Roman;serif"/>
          <w:b w:val="false"/>
          <w:color w:val="000000"/>
          <w:sz w:val="24"/>
        </w:rPr>
        <w:t>2.24.3.</w:t>
      </w:r>
      <w:r>
        <w:rPr>
          <w:rFonts w:ascii="Times New Roman;serif" w:hAnsi="Times New Roman;serif"/>
          <w:b w:val="false"/>
          <w:color w:val="000000"/>
          <w:sz w:val="24"/>
        </w:rPr>
        <w:t>If different from the definition in Section 2.25.1 or Section 2.25.2 above, “Disability” as it may be defined in the employment agreement between the Participant and the Company or an Affiliate, if any.</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2.25. </w:t>
      </w:r>
      <w:r>
        <w:rPr>
          <w:color w:val="000000"/>
        </w:rPr>
        <w:t>“</w:t>
      </w:r>
      <w:r>
        <w:rPr>
          <w:rFonts w:ascii="Times New Roman;serif" w:hAnsi="Times New Roman;serif"/>
          <w:b w:val="false"/>
          <w:color w:val="000000"/>
          <w:sz w:val="24"/>
          <w:u w:val="single"/>
        </w:rPr>
        <w:t>Disabled Participant</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2160"/>
        <w:jc w:val="left"/>
        <w:rPr/>
      </w:pPr>
      <w:r>
        <w:rPr>
          <w:rFonts w:ascii="Times New Roman;serif" w:hAnsi="Times New Roman;serif"/>
          <w:b w:val="false"/>
          <w:color w:val="000000"/>
          <w:sz w:val="24"/>
        </w:rPr>
        <w:t>2.25.1.</w:t>
      </w:r>
      <w:r>
        <w:rPr>
          <w:rFonts w:ascii="Times New Roman;serif" w:hAnsi="Times New Roman;serif"/>
          <w:b w:val="false"/>
          <w:color w:val="000000"/>
          <w:sz w:val="24"/>
        </w:rPr>
        <w:t>A Participant whose employment or, in the case of a Participant who is a Non-Employee Director or Director Emeritus, whose service as a Non-Employee Director or Director Emeritus, is terminated by reason of Disability; or</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70890"/>
                <wp:effectExtent l="0" t="0" r="0" b="0"/>
                <wp:wrapNone/>
                <wp:docPr id="74" name="Frame73"/>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2160"/>
        <w:jc w:val="left"/>
        <w:rPr/>
      </w:pPr>
      <w:r>
        <w:rPr>
          <w:rFonts w:ascii="Times New Roman;serif" w:hAnsi="Times New Roman;serif"/>
          <w:b w:val="false"/>
          <w:color w:val="000000"/>
          <w:sz w:val="24"/>
        </w:rPr>
        <w:t>2.25.2.</w:t>
      </w:r>
      <w:r>
        <w:rPr>
          <w:rFonts w:ascii="Times New Roman;serif" w:hAnsi="Times New Roman;serif"/>
          <w:b w:val="false"/>
          <w:color w:val="000000"/>
          <w:sz w:val="24"/>
        </w:rPr>
        <w:t>The duly appointed legal guardian of an individual described in Section 2.26.1 acting on behalf of such individual.</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2.26. </w:t>
      </w:r>
      <w:r>
        <w:rPr>
          <w:color w:val="000000"/>
        </w:rPr>
        <w:t>“</w:t>
      </w:r>
      <w:r>
        <w:rPr>
          <w:rFonts w:ascii="Times New Roman;serif" w:hAnsi="Times New Roman;serif"/>
          <w:b w:val="false"/>
          <w:color w:val="000000"/>
          <w:sz w:val="24"/>
          <w:u w:val="single"/>
        </w:rPr>
        <w:t>Diversification Election</w:t>
      </w:r>
      <w:r>
        <w:rPr>
          <w:color w:val="000000"/>
        </w:rPr>
        <w:t xml:space="preserve">” </w:t>
      </w:r>
      <w:r>
        <w:rPr>
          <w:rFonts w:ascii="Times New Roman;serif" w:hAnsi="Times New Roman;serif"/>
          <w:b w:val="false"/>
          <w:color w:val="000000"/>
          <w:sz w:val="24"/>
        </w:rPr>
        <w:t>means an election by a Participant other than a Non-Employee Director to have a portion of the Participant’s Account credited in the form of Deferred Stock Units and attributable to any grant of Restricted Stock or Restricted Stock Units deemed liquidated and credited thereafter under the Income Fund or an Other Investment Fund, as provided in Section 3.11, if (and to the extent that) it is approved by the Administrator in accordance with Section 3.11.2.</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2.27. </w:t>
      </w:r>
      <w:r>
        <w:rPr>
          <w:color w:val="000000"/>
        </w:rPr>
        <w:t>“</w:t>
      </w:r>
      <w:r>
        <w:rPr>
          <w:rFonts w:ascii="Times New Roman;serif" w:hAnsi="Times New Roman;serif"/>
          <w:b w:val="false"/>
          <w:color w:val="000000"/>
          <w:sz w:val="24"/>
          <w:u w:val="single"/>
        </w:rPr>
        <w:t>Domestic Relations Order</w:t>
      </w:r>
      <w:r>
        <w:rPr>
          <w:color w:val="000000"/>
        </w:rPr>
        <w:t xml:space="preserve">” </w:t>
      </w:r>
      <w:r>
        <w:rPr>
          <w:rFonts w:ascii="Times New Roman;serif" w:hAnsi="Times New Roman;serif"/>
          <w:b w:val="false"/>
          <w:color w:val="000000"/>
          <w:sz w:val="24"/>
        </w:rPr>
        <w:t>means any judgment, decree or order (including approval of a property settlement agreement) which:</w:t>
      </w:r>
    </w:p>
    <w:p>
      <w:pPr>
        <w:pStyle w:val="TextBody"/>
        <w:bidi w:val="0"/>
        <w:spacing w:lineRule="auto" w:line="240" w:before="0" w:after="240"/>
        <w:ind w:left="0" w:right="0" w:firstLine="2160"/>
        <w:jc w:val="left"/>
        <w:rPr/>
      </w:pPr>
      <w:r>
        <w:rPr>
          <w:rFonts w:ascii="Times New Roman;serif" w:hAnsi="Times New Roman;serif"/>
          <w:b w:val="false"/>
          <w:color w:val="000000"/>
          <w:sz w:val="24"/>
        </w:rPr>
        <w:t>2.27.1.</w:t>
      </w:r>
      <w:r>
        <w:rPr>
          <w:rFonts w:ascii="Times New Roman;serif" w:hAnsi="Times New Roman;serif"/>
          <w:b w:val="false"/>
          <w:color w:val="000000"/>
          <w:sz w:val="24"/>
        </w:rPr>
        <w:t>Relates to the provision of child support, alimony payments or marital property rights to a spouse or former spouse of a Participant; and</w:t>
      </w:r>
    </w:p>
    <w:p>
      <w:pPr>
        <w:pStyle w:val="TextBody"/>
        <w:bidi w:val="0"/>
        <w:spacing w:lineRule="auto" w:line="240" w:before="0" w:after="240"/>
        <w:ind w:left="0" w:right="0" w:firstLine="2160"/>
        <w:jc w:val="left"/>
        <w:rPr/>
      </w:pPr>
      <w:r>
        <w:rPr>
          <w:rFonts w:ascii="Times New Roman;serif" w:hAnsi="Times New Roman;serif"/>
          <w:b w:val="false"/>
          <w:color w:val="000000"/>
          <w:sz w:val="24"/>
        </w:rPr>
        <w:t>2.27.2.</w:t>
      </w:r>
      <w:r>
        <w:rPr>
          <w:rFonts w:ascii="Times New Roman;serif" w:hAnsi="Times New Roman;serif"/>
          <w:b w:val="false"/>
          <w:color w:val="000000"/>
          <w:sz w:val="24"/>
        </w:rPr>
        <w:t>Is made pursuant to a State domestic relations law (including a community property law).</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2.28. </w:t>
      </w:r>
      <w:r>
        <w:rPr>
          <w:color w:val="000000"/>
        </w:rPr>
        <w:t>“</w:t>
      </w:r>
      <w:r>
        <w:rPr>
          <w:rFonts w:ascii="Times New Roman;serif" w:hAnsi="Times New Roman;serif"/>
          <w:b w:val="false"/>
          <w:color w:val="000000"/>
          <w:sz w:val="24"/>
          <w:u w:val="single"/>
        </w:rPr>
        <w:t>Election</w:t>
      </w:r>
      <w:r>
        <w:rPr>
          <w:color w:val="000000"/>
        </w:rPr>
        <w:t xml:space="preserve">” </w:t>
      </w:r>
      <w:r>
        <w:rPr>
          <w:rFonts w:ascii="Times New Roman;serif" w:hAnsi="Times New Roman;serif"/>
          <w:b w:val="false"/>
          <w:color w:val="000000"/>
          <w:sz w:val="24"/>
        </w:rPr>
        <w:t xml:space="preserve">means, as applicable, an Initial Deferral Election, a Regular Deferral Election, or a Subsequent Deferral Election. </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2.29. </w:t>
      </w:r>
      <w:r>
        <w:rPr>
          <w:color w:val="000000"/>
        </w:rPr>
        <w:t>“</w:t>
      </w:r>
      <w:r>
        <w:rPr>
          <w:rFonts w:ascii="Times New Roman;serif" w:hAnsi="Times New Roman;serif"/>
          <w:b w:val="false"/>
          <w:color w:val="000000"/>
          <w:sz w:val="24"/>
          <w:u w:val="single"/>
        </w:rPr>
        <w:t>Eligible Comcast Employee</w:t>
      </w:r>
      <w:r>
        <w:rPr>
          <w:color w:val="000000"/>
        </w:rPr>
        <w:t xml:space="preserve">” </w:t>
      </w:r>
      <w:r>
        <w:rPr>
          <w:rFonts w:ascii="Times New Roman;serif" w:hAnsi="Times New Roman;serif"/>
          <w:b w:val="false"/>
          <w:color w:val="000000"/>
          <w:sz w:val="24"/>
        </w:rPr>
        <w:t xml:space="preserve">means </w:t>
      </w:r>
    </w:p>
    <w:p>
      <w:pPr>
        <w:pStyle w:val="TextBody"/>
        <w:bidi w:val="0"/>
        <w:spacing w:lineRule="auto" w:line="240" w:before="0" w:after="240"/>
        <w:ind w:left="0" w:right="0" w:firstLine="2160"/>
        <w:jc w:val="left"/>
        <w:rPr/>
      </w:pPr>
      <w:r>
        <w:rPr>
          <w:rFonts w:ascii="Times New Roman;serif" w:hAnsi="Times New Roman;serif"/>
          <w:b w:val="false"/>
          <w:color w:val="000000"/>
          <w:sz w:val="24"/>
        </w:rPr>
        <w:t>2.29.1.</w:t>
      </w:r>
      <w:r>
        <w:rPr>
          <w:rFonts w:ascii="Times New Roman;serif" w:hAnsi="Times New Roman;serif"/>
          <w:b w:val="false"/>
          <w:color w:val="000000"/>
          <w:sz w:val="24"/>
        </w:rPr>
        <w:t xml:space="preserve">Each employee of a Participating Company other than Comcast Spectacor and NBCUniversal;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employee (a) has an Annual Rate of Pay of $350,000 or more as of both (i) the date on which an Initial Deferral Election or Regular Deferral Election is filed with the Administrator and (ii) the date on which the Initial Deferral Election or Regular Deferral Election becomes effective and (b) meets any other eligibility criteria that may be established by the Administrator; and</w:t>
      </w:r>
    </w:p>
    <w:p>
      <w:pPr>
        <w:pStyle w:val="TextBody"/>
        <w:bidi w:val="0"/>
        <w:spacing w:lineRule="auto" w:line="240" w:before="0" w:after="240"/>
        <w:ind w:left="0" w:right="0" w:firstLine="2160"/>
        <w:jc w:val="left"/>
        <w:rPr/>
      </w:pPr>
      <w:r>
        <w:rPr>
          <w:rFonts w:ascii="Times New Roman;serif" w:hAnsi="Times New Roman;serif"/>
          <w:b w:val="false"/>
          <w:color w:val="000000"/>
          <w:sz w:val="24"/>
        </w:rPr>
        <w:t>2.29.2.</w:t>
      </w:r>
      <w:r>
        <w:rPr>
          <w:rFonts w:ascii="Times New Roman;serif" w:hAnsi="Times New Roman;serif"/>
          <w:b w:val="false"/>
          <w:color w:val="000000"/>
          <w:sz w:val="24"/>
        </w:rPr>
        <w:t>Each New Key Employee who is an employee of a Participating Company other than NBCUniversal.</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2.30. </w:t>
      </w:r>
      <w:r>
        <w:rPr>
          <w:color w:val="000000"/>
        </w:rPr>
        <w:t>“</w:t>
      </w:r>
      <w:r>
        <w:rPr>
          <w:rFonts w:ascii="Times New Roman;serif" w:hAnsi="Times New Roman;serif"/>
          <w:b w:val="false"/>
          <w:color w:val="000000"/>
          <w:sz w:val="24"/>
          <w:u w:val="single"/>
        </w:rPr>
        <w:t>Eligible Comcast Spectacor Employee</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2160"/>
        <w:jc w:val="left"/>
        <w:rPr/>
      </w:pPr>
      <w:r>
        <w:rPr>
          <w:rFonts w:ascii="Times New Roman;serif" w:hAnsi="Times New Roman;serif"/>
          <w:b w:val="false"/>
          <w:color w:val="000000"/>
          <w:sz w:val="24"/>
        </w:rPr>
        <w:t>2.30.1.</w:t>
      </w:r>
      <w:r>
        <w:rPr>
          <w:rFonts w:ascii="Times New Roman;serif" w:hAnsi="Times New Roman;serif"/>
          <w:b w:val="false"/>
          <w:color w:val="000000"/>
          <w:sz w:val="24"/>
        </w:rPr>
        <w:t>Each Eligible Comcast Employee who is providing services to Comcast Spectacor under a secondment arrangement between the Company and Comcast Spectacor; and</w:t>
      </w:r>
    </w:p>
    <w:p>
      <w:pPr>
        <w:pStyle w:val="TextBody"/>
        <w:bidi w:val="0"/>
        <w:spacing w:lineRule="auto" w:line="240" w:before="0" w:after="240"/>
        <w:ind w:left="0" w:right="0" w:firstLine="2160"/>
        <w:jc w:val="left"/>
        <w:rPr/>
      </w:pPr>
      <w:r>
        <w:rPr>
          <w:rFonts w:ascii="Times New Roman;serif" w:hAnsi="Times New Roman;serif"/>
          <w:b w:val="false"/>
          <w:color w:val="000000"/>
          <w:sz w:val="24"/>
        </w:rPr>
        <w:t>2.30.2.</w:t>
      </w:r>
      <w:r>
        <w:rPr>
          <w:rFonts w:ascii="Times New Roman;serif" w:hAnsi="Times New Roman;serif"/>
          <w:b w:val="false"/>
          <w:color w:val="000000"/>
          <w:sz w:val="24"/>
        </w:rPr>
        <w:t xml:space="preserve">Each employee of Comcast Spectacor;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employee (a) has been designated as an Eligible Comcast Spectacor Employee by the Administrator and (b) has an Annual Rate of Pay of $350,000 or more as of both (i) the date on which an Initial Deferral Election or Regular Deferral is filed with the Administrator and (ii) the date on which the Initial Deferral Election or Regular Deferral Election becomes effective.</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2.31. </w:t>
      </w:r>
      <w:r>
        <w:rPr>
          <w:color w:val="000000"/>
        </w:rPr>
        <w:t>“</w:t>
      </w:r>
      <w:r>
        <w:rPr>
          <w:rFonts w:ascii="Times New Roman;serif" w:hAnsi="Times New Roman;serif"/>
          <w:b w:val="false"/>
          <w:color w:val="000000"/>
          <w:sz w:val="24"/>
          <w:u w:val="single"/>
        </w:rPr>
        <w:t>Eligible Employee</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2160"/>
        <w:jc w:val="left"/>
        <w:rPr/>
      </w:pPr>
      <w:r>
        <w:rPr>
          <w:rFonts w:ascii="Times New Roman;serif" w:hAnsi="Times New Roman;serif"/>
          <w:b w:val="false"/>
          <w:color w:val="000000"/>
          <w:sz w:val="24"/>
        </w:rPr>
        <w:t>2.31.1.</w:t>
      </w:r>
      <w:r>
        <w:rPr>
          <w:rFonts w:ascii="Times New Roman;serif" w:hAnsi="Times New Roman;serif"/>
          <w:b w:val="false"/>
          <w:color w:val="000000"/>
          <w:sz w:val="24"/>
        </w:rPr>
        <w:t>Each Eligible Comcast Employee;</w:t>
      </w:r>
    </w:p>
    <w:p>
      <w:pPr>
        <w:pStyle w:val="TextBody"/>
        <w:bidi w:val="0"/>
        <w:spacing w:lineRule="auto" w:line="240" w:before="0" w:after="240"/>
        <w:ind w:left="0" w:right="0" w:firstLine="2160"/>
        <w:jc w:val="left"/>
        <w:rPr/>
      </w:pPr>
      <w:r>
        <w:rPr>
          <w:rFonts w:ascii="Times New Roman;serif" w:hAnsi="Times New Roman;serif"/>
          <w:b w:val="false"/>
          <w:color w:val="000000"/>
          <w:sz w:val="24"/>
        </w:rPr>
        <w:t>2.31.2.</w:t>
      </w:r>
      <w:r>
        <w:rPr>
          <w:rFonts w:ascii="Times New Roman;serif" w:hAnsi="Times New Roman;serif"/>
          <w:b w:val="false"/>
          <w:color w:val="000000"/>
          <w:sz w:val="24"/>
        </w:rPr>
        <w:t xml:space="preserve">Each Eligible NBCU Employee; </w:t>
      </w:r>
    </w:p>
    <w:p>
      <w:pPr>
        <w:pStyle w:val="TextBody"/>
        <w:bidi w:val="0"/>
        <w:spacing w:lineRule="auto" w:line="240" w:before="0" w:after="240"/>
        <w:ind w:left="0" w:right="0" w:firstLine="2160"/>
        <w:jc w:val="left"/>
        <w:rPr/>
      </w:pPr>
      <w:r>
        <w:rPr>
          <w:rFonts w:ascii="Times New Roman;serif" w:hAnsi="Times New Roman;serif"/>
          <w:b w:val="false"/>
          <w:color w:val="000000"/>
          <w:sz w:val="24"/>
        </w:rPr>
        <w:t>2.31.3.</w:t>
      </w:r>
      <w:r>
        <w:rPr>
          <w:rFonts w:ascii="Times New Roman;serif" w:hAnsi="Times New Roman;serif"/>
          <w:b w:val="false"/>
          <w:color w:val="000000"/>
          <w:sz w:val="24"/>
        </w:rPr>
        <w:t>Each Eligible Comcast Spectacor Employee; and</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70890"/>
                <wp:effectExtent l="0" t="0" r="0" b="0"/>
                <wp:wrapNone/>
                <wp:docPr id="75" name="Frame74"/>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2160"/>
        <w:jc w:val="left"/>
        <w:rPr/>
      </w:pPr>
      <w:r>
        <w:rPr>
          <w:rFonts w:ascii="Times New Roman;serif" w:hAnsi="Times New Roman;serif"/>
          <w:b w:val="false"/>
          <w:color w:val="000000"/>
          <w:sz w:val="24"/>
        </w:rPr>
        <w:t>2.31.4.</w:t>
      </w:r>
      <w:r>
        <w:rPr>
          <w:rFonts w:ascii="Times New Roman;serif" w:hAnsi="Times New Roman;serif"/>
          <w:b w:val="false"/>
          <w:color w:val="000000"/>
          <w:sz w:val="24"/>
        </w:rPr>
        <w:t>Each other employee of a Participating Company who is designated by the Administrator, in its discretion, as an Eligible Employee.</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2.32. </w:t>
      </w:r>
      <w:r>
        <w:rPr>
          <w:color w:val="000000"/>
        </w:rPr>
        <w:t>“</w:t>
      </w:r>
      <w:r>
        <w:rPr>
          <w:rFonts w:ascii="Times New Roman;serif" w:hAnsi="Times New Roman;serif"/>
          <w:b w:val="false"/>
          <w:color w:val="000000"/>
          <w:sz w:val="24"/>
          <w:u w:val="single"/>
        </w:rPr>
        <w:t>Eligible NBCU Employee</w:t>
      </w:r>
      <w:r>
        <w:rPr>
          <w:color w:val="000000"/>
        </w:rPr>
        <w:t xml:space="preserve">” </w:t>
      </w:r>
      <w:r>
        <w:rPr>
          <w:rFonts w:ascii="Times New Roman;serif" w:hAnsi="Times New Roman;serif"/>
          <w:b w:val="false"/>
          <w:color w:val="000000"/>
          <w:sz w:val="24"/>
        </w:rPr>
        <w:t xml:space="preserve">means individuals described in this Section 2.32;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in each case, except as otherwise designated by the Administrator, such individual’s Compensation is administered under NBCUniversal’s common payroll system.</w:t>
      </w:r>
    </w:p>
    <w:p>
      <w:pPr>
        <w:pStyle w:val="TextBody"/>
        <w:bidi w:val="0"/>
        <w:spacing w:lineRule="auto" w:line="240" w:before="0" w:after="240"/>
        <w:ind w:left="0" w:right="0" w:firstLine="2160"/>
        <w:jc w:val="left"/>
        <w:rPr/>
      </w:pPr>
      <w:r>
        <w:rPr>
          <w:rFonts w:ascii="Times New Roman;serif" w:hAnsi="Times New Roman;serif"/>
          <w:b w:val="false"/>
          <w:color w:val="000000"/>
          <w:sz w:val="24"/>
        </w:rPr>
        <w:t>2.32.1.</w:t>
      </w:r>
      <w:r>
        <w:rPr>
          <w:rFonts w:ascii="Times New Roman;serif" w:hAnsi="Times New Roman;serif"/>
          <w:b w:val="false"/>
          <w:color w:val="000000"/>
          <w:sz w:val="24"/>
        </w:rPr>
        <w:t>Each New Key Employee who is an employee of NBCUniversal; and</w:t>
      </w:r>
    </w:p>
    <w:p>
      <w:pPr>
        <w:pStyle w:val="TextBody"/>
        <w:bidi w:val="0"/>
        <w:spacing w:lineRule="auto" w:line="240" w:before="0" w:after="240"/>
        <w:ind w:left="0" w:right="0" w:firstLine="2160"/>
        <w:jc w:val="left"/>
        <w:rPr/>
      </w:pPr>
      <w:r>
        <w:rPr>
          <w:rFonts w:ascii="Times New Roman;serif" w:hAnsi="Times New Roman;serif"/>
          <w:b w:val="false"/>
          <w:color w:val="000000"/>
          <w:sz w:val="24"/>
        </w:rPr>
        <w:t>2.32.2.</w:t>
      </w:r>
      <w:r>
        <w:rPr>
          <w:rFonts w:ascii="Times New Roman;serif" w:hAnsi="Times New Roman;serif"/>
          <w:b w:val="false"/>
          <w:color w:val="000000"/>
          <w:sz w:val="24"/>
        </w:rPr>
        <w:t>Each employee of NBCUniversal who has been designated as a member of NBCUniversal’s Executive Committee or Management Committee by the Chief Executive Officer of NBCUniversal and approved by the Administrator.</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2.33. </w:t>
      </w:r>
      <w:r>
        <w:rPr>
          <w:color w:val="000000"/>
        </w:rPr>
        <w:t>“</w:t>
      </w:r>
      <w:r>
        <w:rPr>
          <w:rFonts w:ascii="Times New Roman;serif" w:hAnsi="Times New Roman;serif"/>
          <w:b w:val="false"/>
          <w:color w:val="000000"/>
          <w:sz w:val="24"/>
          <w:u w:val="single"/>
        </w:rPr>
        <w:t>Equity Plan</w:t>
      </w:r>
      <w:r>
        <w:rPr>
          <w:color w:val="000000"/>
        </w:rPr>
        <w:t xml:space="preserve">” </w:t>
      </w:r>
      <w:r>
        <w:rPr>
          <w:rFonts w:ascii="Times New Roman;serif" w:hAnsi="Times New Roman;serif"/>
          <w:b w:val="false"/>
          <w:color w:val="000000"/>
          <w:sz w:val="24"/>
        </w:rPr>
        <w:t xml:space="preserve">means the Comcast Corporation 2023 Omnibus Equity Incentive Plan and any successor plan. </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2.34. </w:t>
      </w:r>
      <w:r>
        <w:rPr>
          <w:color w:val="000000"/>
        </w:rPr>
        <w:t>“</w:t>
      </w:r>
      <w:r>
        <w:rPr>
          <w:rFonts w:ascii="Times New Roman;serif" w:hAnsi="Times New Roman;serif"/>
          <w:b w:val="false"/>
          <w:color w:val="000000"/>
          <w:sz w:val="24"/>
          <w:u w:val="single"/>
        </w:rPr>
        <w:t>Fair Market Value</w:t>
      </w:r>
      <w:r>
        <w:rPr>
          <w:color w:val="000000"/>
        </w:rPr>
        <w:t>”</w:t>
      </w:r>
    </w:p>
    <w:p>
      <w:pPr>
        <w:pStyle w:val="TextBody"/>
        <w:bidi w:val="0"/>
        <w:spacing w:lineRule="auto" w:line="240" w:before="0" w:after="240"/>
        <w:ind w:left="0" w:right="0" w:firstLine="2160"/>
        <w:jc w:val="left"/>
        <w:rPr/>
      </w:pPr>
      <w:r>
        <w:rPr>
          <w:rFonts w:ascii="Times New Roman;serif" w:hAnsi="Times New Roman;serif"/>
          <w:b w:val="false"/>
          <w:color w:val="000000"/>
          <w:sz w:val="24"/>
        </w:rPr>
        <w:t>2.34.1.</w:t>
      </w:r>
      <w:r>
        <w:rPr>
          <w:rFonts w:ascii="Times New Roman;serif" w:hAnsi="Times New Roman;serif"/>
          <w:b w:val="false"/>
          <w:color w:val="000000"/>
          <w:sz w:val="24"/>
        </w:rPr>
        <w:t>If Shares, or shares of any Other Investment Fund are listed on a stock exchange, Fair Market Value shall be determined based on the last reported sale price of a share on the principal exchange on which shares are listed on (i) the date of determination, or (ii) if such date is not a trading day, the next trading date.</w:t>
      </w:r>
    </w:p>
    <w:p>
      <w:pPr>
        <w:pStyle w:val="TextBody"/>
        <w:bidi w:val="0"/>
        <w:spacing w:lineRule="auto" w:line="240" w:before="0" w:after="240"/>
        <w:ind w:left="0" w:right="0" w:firstLine="2160"/>
        <w:jc w:val="left"/>
        <w:rPr/>
      </w:pPr>
      <w:r>
        <w:rPr>
          <w:rFonts w:ascii="Times New Roman;serif" w:hAnsi="Times New Roman;serif"/>
          <w:b w:val="false"/>
          <w:color w:val="000000"/>
          <w:sz w:val="24"/>
        </w:rPr>
        <w:t>2.34.2.</w:t>
      </w:r>
      <w:r>
        <w:rPr>
          <w:rFonts w:ascii="Times New Roman;serif" w:hAnsi="Times New Roman;serif"/>
          <w:b w:val="false"/>
          <w:color w:val="000000"/>
          <w:sz w:val="24"/>
        </w:rPr>
        <w:t>If Shares, or shares of any Other Investment Fund are not so listed, but trades of shares are reported on a quotation system, Fair Market Value shall be determined based on the last quoted sale price of a share on the quotation system on (i) the date of determination, or (ii) if such date is not a trading day, the next trading date.</w:t>
      </w:r>
    </w:p>
    <w:p>
      <w:pPr>
        <w:pStyle w:val="TextBody"/>
        <w:bidi w:val="0"/>
        <w:spacing w:lineRule="auto" w:line="240" w:before="0" w:after="240"/>
        <w:ind w:left="0" w:right="0" w:firstLine="2160"/>
        <w:jc w:val="left"/>
        <w:rPr/>
      </w:pPr>
      <w:r>
        <w:rPr>
          <w:rFonts w:ascii="Times New Roman;serif" w:hAnsi="Times New Roman;serif"/>
          <w:b w:val="false"/>
          <w:color w:val="000000"/>
          <w:sz w:val="24"/>
        </w:rPr>
        <w:t>2.34.3.</w:t>
      </w:r>
      <w:r>
        <w:rPr>
          <w:rFonts w:ascii="Times New Roman;serif" w:hAnsi="Times New Roman;serif"/>
          <w:b w:val="false"/>
          <w:color w:val="000000"/>
          <w:sz w:val="24"/>
        </w:rPr>
        <w:t>If Shares, or shares of any Other Investment Fund are not so listed nor trades of shares so reported, Fair Market Value shall be determined by the Administrator in good faith.</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2.35. </w:t>
      </w:r>
      <w:r>
        <w:rPr>
          <w:color w:val="000000"/>
        </w:rPr>
        <w:t>“</w:t>
      </w:r>
      <w:r>
        <w:rPr>
          <w:rFonts w:ascii="Times New Roman;serif" w:hAnsi="Times New Roman;serif"/>
          <w:b w:val="false"/>
          <w:color w:val="000000"/>
          <w:sz w:val="24"/>
          <w:u w:val="single"/>
        </w:rPr>
        <w:t>Family Member</w:t>
      </w:r>
      <w:r>
        <w:rPr>
          <w:color w:val="000000"/>
        </w:rPr>
        <w:t xml:space="preserve">” </w:t>
      </w:r>
      <w:r>
        <w:rPr>
          <w:rFonts w:ascii="Times New Roman;serif" w:hAnsi="Times New Roman;serif"/>
          <w:b w:val="false"/>
          <w:color w:val="000000"/>
          <w:sz w:val="24"/>
        </w:rPr>
        <w:t>has the meaning given to such term in General Instructions A.1(a)(5) to Form S-8 under the Securities Act of 1933, as amended, and any successor thereto.</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2.36. </w:t>
      </w:r>
      <w:r>
        <w:rPr>
          <w:color w:val="000000"/>
        </w:rPr>
        <w:t>“</w:t>
      </w:r>
      <w:r>
        <w:rPr>
          <w:rFonts w:ascii="Times New Roman;serif" w:hAnsi="Times New Roman;serif"/>
          <w:b w:val="false"/>
          <w:color w:val="000000"/>
          <w:sz w:val="24"/>
          <w:u w:val="single"/>
        </w:rPr>
        <w:t>Hardship</w:t>
      </w:r>
      <w:r>
        <w:rPr>
          <w:color w:val="000000"/>
        </w:rPr>
        <w:t xml:space="preserve">” </w:t>
      </w:r>
      <w:r>
        <w:rPr>
          <w:rFonts w:ascii="Times New Roman;serif" w:hAnsi="Times New Roman;serif"/>
          <w:b w:val="false"/>
          <w:color w:val="000000"/>
          <w:sz w:val="24"/>
        </w:rPr>
        <w:t xml:space="preserve">means an “unforeseeable emergency,” as defined in Section 409A. The Administrator shall determine whether the circumstances of the Participant constitute an unforeseeable emergency and thus a Hardship within the meaning of this Section 2.37. Following a uniform procedure, the Administrator’s determination shall consider any facts or conditions deemed necessary or advisable by the Administrator, and the Participant shall be required to submit any evidence of the Participant’s circumstances that the Administrator requires. The determination as to whether the Participant’s circumstances are a case of Hardship shall be based on the facts of each case;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all determinations as to Hardship shall be uniformly and consistently made according to the provisions of this Section 2.37 for all Participants in similar circumstances.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2.37. </w:t>
      </w:r>
      <w:r>
        <w:rPr>
          <w:color w:val="000000"/>
        </w:rPr>
        <w:t>“</w:t>
      </w:r>
      <w:r>
        <w:rPr>
          <w:rFonts w:ascii="Times New Roman;serif" w:hAnsi="Times New Roman;serif"/>
          <w:b w:val="false"/>
          <w:color w:val="000000"/>
          <w:sz w:val="24"/>
          <w:u w:val="single"/>
        </w:rPr>
        <w:t>High Balance Participant</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2160"/>
        <w:jc w:val="left"/>
        <w:rPr/>
      </w:pPr>
      <w:r>
        <w:rPr>
          <w:rFonts w:ascii="Times New Roman;serif" w:hAnsi="Times New Roman;serif"/>
          <w:b w:val="false"/>
          <w:color w:val="000000"/>
          <w:sz w:val="24"/>
        </w:rPr>
        <w:t>2.37.1.</w:t>
      </w:r>
      <w:r>
        <w:rPr>
          <w:rFonts w:ascii="Times New Roman;serif" w:hAnsi="Times New Roman;serif"/>
          <w:b w:val="false"/>
          <w:color w:val="000000"/>
          <w:sz w:val="24"/>
        </w:rPr>
        <w:t xml:space="preserve">A Participant the value of whose Account that is deemed invested in the Income Fund is greater than or equal to the Income Fund Limit, as determined by the Administrator;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70890"/>
                <wp:effectExtent l="0" t="0" r="0" b="0"/>
                <wp:wrapNone/>
                <wp:docPr id="76" name="Frame75"/>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2160"/>
        <w:jc w:val="left"/>
        <w:rPr/>
      </w:pPr>
      <w:r>
        <w:rPr>
          <w:rFonts w:ascii="Times New Roman;serif" w:hAnsi="Times New Roman;serif"/>
          <w:b w:val="false"/>
          <w:color w:val="000000"/>
          <w:sz w:val="24"/>
        </w:rPr>
        <w:t>2.37.2.</w:t>
      </w:r>
      <w:r>
        <w:rPr>
          <w:rFonts w:ascii="Times New Roman;serif" w:hAnsi="Times New Roman;serif"/>
          <w:b w:val="false"/>
          <w:color w:val="000000"/>
          <w:sz w:val="24"/>
        </w:rPr>
        <w:t>A Participant who is a Non-Employee Director; and</w:t>
      </w:r>
    </w:p>
    <w:p>
      <w:pPr>
        <w:pStyle w:val="TextBody"/>
        <w:bidi w:val="0"/>
        <w:spacing w:lineRule="auto" w:line="240" w:before="0" w:after="240"/>
        <w:ind w:left="0" w:right="0" w:firstLine="2160"/>
        <w:jc w:val="left"/>
        <w:rPr/>
      </w:pPr>
      <w:r>
        <w:rPr>
          <w:rFonts w:ascii="Times New Roman;serif" w:hAnsi="Times New Roman;serif"/>
          <w:b w:val="false"/>
          <w:color w:val="000000"/>
          <w:sz w:val="24"/>
        </w:rPr>
        <w:t>2.37.3.</w:t>
      </w:r>
      <w:r>
        <w:rPr>
          <w:rFonts w:ascii="Times New Roman;serif" w:hAnsi="Times New Roman;serif"/>
          <w:b w:val="false"/>
          <w:color w:val="000000"/>
          <w:sz w:val="24"/>
        </w:rPr>
        <w:t>A Participant who is a Covered Participant.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2.38. </w:t>
      </w:r>
      <w:r>
        <w:rPr>
          <w:color w:val="000000"/>
        </w:rPr>
        <w:t>“</w:t>
      </w:r>
      <w:r>
        <w:rPr>
          <w:rFonts w:ascii="Times New Roman;serif" w:hAnsi="Times New Roman;serif"/>
          <w:b w:val="false"/>
          <w:color w:val="000000"/>
          <w:sz w:val="24"/>
          <w:u w:val="single"/>
        </w:rPr>
        <w:t>Inactive Participant</w:t>
      </w:r>
      <w:r>
        <w:rPr>
          <w:color w:val="000000"/>
        </w:rPr>
        <w:t xml:space="preserve">” </w:t>
      </w:r>
      <w:r>
        <w:rPr>
          <w:rFonts w:ascii="Times New Roman;serif" w:hAnsi="Times New Roman;serif"/>
          <w:b w:val="false"/>
          <w:color w:val="000000"/>
          <w:sz w:val="24"/>
        </w:rPr>
        <w:t>means each Participant (other than a Non-Employee Director or Section 16 Officer described in Section 3.5(a), Retired Participant, Deceased Participant or Disabled Participant) who is not in active service as a Non-Employee Director or Director Emeritus and is not actively employed by a Participating Company.</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2.39. </w:t>
      </w:r>
      <w:r>
        <w:rPr>
          <w:color w:val="000000"/>
        </w:rPr>
        <w:t>“</w:t>
      </w:r>
      <w:r>
        <w:rPr>
          <w:rFonts w:ascii="Times New Roman;serif" w:hAnsi="Times New Roman;serif"/>
          <w:b w:val="false"/>
          <w:color w:val="000000"/>
          <w:sz w:val="24"/>
          <w:u w:val="single"/>
        </w:rPr>
        <w:t>Income Fund</w:t>
      </w:r>
      <w:r>
        <w:rPr>
          <w:color w:val="000000"/>
        </w:rPr>
        <w:t xml:space="preserve">” </w:t>
      </w:r>
      <w:r>
        <w:rPr>
          <w:rFonts w:ascii="Times New Roman;serif" w:hAnsi="Times New Roman;serif"/>
          <w:b w:val="false"/>
          <w:color w:val="000000"/>
          <w:sz w:val="24"/>
        </w:rPr>
        <w:t>means a hypothetical investment fund pursuant to which income, gains and losses are credited to a Participant’s Account as if the Account, to the extent deemed invested in the Income Fund, including an amount equal to the Fair Market Value of Deferred Stock Units subject to a Diversification Election that is credited as of the effective date of such Diversification Election, were credited with interest at the Applicable Interest Rate. In addition, the Income Fund shall also be deemed to hold dividend equivalents and earnings on dividend equivalents credited with respect to Deferred Stock Units. For purposes of this Section 2.40, the Income Fund shall include amounts credited to the Income Fund under the Prior DC Plan, the Prior Equity Plan and the 2027 DC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2.40. </w:t>
      </w:r>
      <w:r>
        <w:rPr>
          <w:color w:val="000000"/>
        </w:rPr>
        <w:t>“</w:t>
      </w:r>
      <w:r>
        <w:rPr>
          <w:rFonts w:ascii="Times New Roman;serif" w:hAnsi="Times New Roman;serif"/>
          <w:b w:val="false"/>
          <w:color w:val="000000"/>
          <w:sz w:val="24"/>
          <w:u w:val="single"/>
        </w:rPr>
        <w:t>Income Fund Limit</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2160"/>
        <w:jc w:val="left"/>
        <w:rPr/>
      </w:pPr>
      <w:r>
        <w:rPr>
          <w:rFonts w:ascii="Times New Roman;serif" w:hAnsi="Times New Roman;serif"/>
          <w:b w:val="false"/>
          <w:color w:val="000000"/>
          <w:sz w:val="24"/>
        </w:rPr>
        <w:t>2.40.1.</w:t>
      </w:r>
      <w:r>
        <w:rPr>
          <w:rFonts w:ascii="Times New Roman;serif" w:hAnsi="Times New Roman;serif"/>
          <w:b w:val="false"/>
          <w:color w:val="000000"/>
          <w:sz w:val="24"/>
        </w:rPr>
        <w:t xml:space="preserve">With respect to Participants other than Participants described in Section 2.41.2, Section 2.41.3, and Section 2.41.4, $100 million;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the amount credited to a Participant’s Income Fund is greater than $100 million, the Income Fund Limit applicable to such Participant for any applicable Plan Year shall be equal to the amount credited to a Participant’s Income Fund as of the December 31 immediately preceding such applicable Plan Year until such balance is equal to or less than $100 million.</w:t>
      </w:r>
    </w:p>
    <w:p>
      <w:pPr>
        <w:pStyle w:val="TextBody"/>
        <w:bidi w:val="0"/>
        <w:spacing w:lineRule="auto" w:line="240" w:before="0" w:after="240"/>
        <w:ind w:left="0" w:right="0" w:firstLine="2160"/>
        <w:jc w:val="left"/>
        <w:rPr/>
      </w:pPr>
      <w:r>
        <w:rPr>
          <w:rFonts w:ascii="Times New Roman;serif" w:hAnsi="Times New Roman;serif"/>
          <w:b w:val="false"/>
          <w:color w:val="000000"/>
          <w:sz w:val="24"/>
        </w:rPr>
        <w:t>2.40.2.</w:t>
      </w:r>
      <w:r>
        <w:rPr>
          <w:rFonts w:ascii="Times New Roman;serif" w:hAnsi="Times New Roman;serif"/>
          <w:b w:val="false"/>
          <w:color w:val="000000"/>
          <w:sz w:val="24"/>
        </w:rPr>
        <w:t>With respect to Participants who are Non-Employee Directors, $0 (zero dollars).</w:t>
      </w:r>
    </w:p>
    <w:p>
      <w:pPr>
        <w:pStyle w:val="TextBody"/>
        <w:bidi w:val="0"/>
        <w:spacing w:lineRule="auto" w:line="240" w:before="0" w:after="240"/>
        <w:ind w:left="0" w:right="0" w:firstLine="2160"/>
        <w:jc w:val="left"/>
        <w:rPr/>
      </w:pPr>
      <w:r>
        <w:rPr>
          <w:rFonts w:ascii="Times New Roman;serif" w:hAnsi="Times New Roman;serif"/>
          <w:b w:val="false"/>
          <w:color w:val="000000"/>
          <w:sz w:val="24"/>
        </w:rPr>
        <w:t>2.40.3.</w:t>
      </w:r>
      <w:r>
        <w:rPr>
          <w:rFonts w:ascii="Times New Roman;serif" w:hAnsi="Times New Roman;serif"/>
          <w:b w:val="false"/>
          <w:color w:val="000000"/>
          <w:sz w:val="24"/>
        </w:rPr>
        <w:t>With respect to Participants who are Covered Participants as of such date, $0 (zero dollars).</w:t>
      </w:r>
    </w:p>
    <w:p>
      <w:pPr>
        <w:pStyle w:val="TextBody"/>
        <w:bidi w:val="0"/>
        <w:spacing w:lineRule="auto" w:line="240" w:before="0" w:after="240"/>
        <w:ind w:left="0" w:right="0" w:firstLine="2160"/>
        <w:jc w:val="left"/>
        <w:rPr/>
      </w:pPr>
      <w:r>
        <w:rPr>
          <w:rFonts w:ascii="Times New Roman;serif" w:hAnsi="Times New Roman;serif"/>
          <w:b w:val="false"/>
          <w:color w:val="000000"/>
          <w:sz w:val="24"/>
        </w:rPr>
        <w:t>2.40.4.</w:t>
      </w:r>
      <w:r>
        <w:rPr>
          <w:rFonts w:ascii="Times New Roman;serif" w:hAnsi="Times New Roman;serif"/>
          <w:b w:val="false"/>
          <w:color w:val="000000"/>
          <w:sz w:val="24"/>
        </w:rPr>
        <w:t>Effective as of the last day of the month following the date a Participant first becomes a Non-Employee Director or a Covered Participant, $0 (zero dollars).</w:t>
      </w:r>
    </w:p>
    <w:p>
      <w:pPr>
        <w:pStyle w:val="TextBody"/>
        <w:bidi w:val="0"/>
        <w:spacing w:lineRule="auto" w:line="288" w:before="0" w:after="240"/>
        <w:jc w:val="left"/>
        <w:rPr/>
      </w:pPr>
      <w:r>
        <w:rPr>
          <w:rFonts w:ascii="Times New Roman;serif" w:hAnsi="Times New Roman;serif"/>
          <w:b w:val="false"/>
          <w:color w:val="000000"/>
          <w:sz w:val="24"/>
        </w:rPr>
        <w:t>(a)</w:t>
      </w:r>
      <w:r>
        <w:rPr>
          <w:rFonts w:ascii="Times New Roman;serif" w:hAnsi="Times New Roman;serif"/>
          <w:b w:val="false"/>
          <w:color w:val="000000"/>
          <w:sz w:val="24"/>
        </w:rPr>
        <w:t>The Administrator may waive or modify downward the Income Fund Limit applicable to one or more High Balance Participants in its discretion. For purposes of this Section 2.41, the Income Fund shall include amounts credited to the Income Fund under the Prior DC Plan, the Prior Equity Plan and the 2027 DC Plan.</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2.41. </w:t>
      </w:r>
      <w:r>
        <w:rPr>
          <w:color w:val="000000"/>
        </w:rPr>
        <w:t>“</w:t>
      </w:r>
      <w:r>
        <w:rPr>
          <w:rFonts w:ascii="Times New Roman;serif" w:hAnsi="Times New Roman;serif"/>
          <w:b w:val="false"/>
          <w:color w:val="000000"/>
          <w:sz w:val="24"/>
          <w:u w:val="single"/>
        </w:rPr>
        <w:t>Initial Deferral Election</w:t>
      </w:r>
      <w:r>
        <w:rPr>
          <w:rFonts w:ascii="Times New Roman;serif" w:hAnsi="Times New Roman;serif"/>
          <w:b w:val="false"/>
          <w:color w:val="000000"/>
          <w:sz w:val="24"/>
        </w:rPr>
        <w:t>.”</w:t>
      </w:r>
    </w:p>
    <w:p>
      <w:pPr>
        <w:pStyle w:val="TextBody"/>
        <w:bidi w:val="0"/>
        <w:spacing w:lineRule="auto" w:line="240" w:before="0" w:after="240"/>
        <w:ind w:left="0" w:right="0" w:firstLine="2160"/>
        <w:jc w:val="left"/>
        <w:rPr/>
      </w:pPr>
      <w:r>
        <w:rPr>
          <w:rFonts w:ascii="Times New Roman;serif" w:hAnsi="Times New Roman;serif"/>
          <w:b w:val="false"/>
          <w:color w:val="000000"/>
          <w:sz w:val="24"/>
        </w:rPr>
        <w:t>2.41.1.</w:t>
      </w:r>
      <w:r>
        <w:rPr>
          <w:rFonts w:ascii="Times New Roman;serif" w:hAnsi="Times New Roman;serif"/>
          <w:b w:val="false"/>
          <w:color w:val="000000"/>
          <w:sz w:val="24"/>
          <w:u w:val="single"/>
        </w:rPr>
        <w:t>Non-Employee Directors and Directors Emeriti</w:t>
      </w:r>
      <w:r>
        <w:rPr>
          <w:rFonts w:ascii="Times New Roman;serif" w:hAnsi="Times New Roman;serif"/>
          <w:b w:val="false"/>
          <w:color w:val="000000"/>
          <w:sz w:val="24"/>
        </w:rPr>
        <w:t>. With respect to Non-Employee Directors and Directors Emeriti, the term “Initial Deferral Election” means one or more written elections on a form provided by the Administrator and filed with the Administrator in accordance with Article 3, pursuant to which a Non-Employee Director or Director Emeritus may:</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Elect to defer the receipt of any portion of the Compensation payable for the performance of services as a Non-Employee Director or a Director Emeritus, net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70890"/>
                <wp:effectExtent l="0" t="0" r="0" b="0"/>
                <wp:wrapNone/>
                <wp:docPr id="77" name="Frame76"/>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of required withholdings and deductions as determined by the Administrator in its sole discretion; </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Elect to defer the receipt of Restricted Stock Units; and </w:t>
      </w:r>
    </w:p>
    <w:p>
      <w:pPr>
        <w:pStyle w:val="TextBody"/>
        <w:bidi w:val="0"/>
        <w:spacing w:lineRule="auto" w:line="240" w:before="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Designate the time of payment of the amount of deferred Compensation and Deferred Stock Units to which the Initial Deferral Election relates.</w:t>
      </w:r>
    </w:p>
    <w:p>
      <w:pPr>
        <w:pStyle w:val="TextBody"/>
        <w:bidi w:val="0"/>
        <w:spacing w:lineRule="auto" w:line="240" w:before="0" w:after="240"/>
        <w:ind w:left="0" w:right="0" w:firstLine="2160"/>
        <w:jc w:val="left"/>
        <w:rPr/>
      </w:pPr>
      <w:r>
        <w:rPr>
          <w:rFonts w:ascii="Times New Roman;serif" w:hAnsi="Times New Roman;serif"/>
          <w:b w:val="false"/>
          <w:color w:val="000000"/>
          <w:sz w:val="24"/>
        </w:rPr>
        <w:t>2.41.2.</w:t>
      </w:r>
      <w:r>
        <w:rPr>
          <w:rFonts w:ascii="Times New Roman;serif" w:hAnsi="Times New Roman;serif"/>
          <w:b w:val="false"/>
          <w:color w:val="000000"/>
          <w:sz w:val="24"/>
          <w:u w:val="single"/>
        </w:rPr>
        <w:t>Eligible Employees</w:t>
      </w:r>
      <w:r>
        <w:rPr>
          <w:rFonts w:ascii="Times New Roman;serif" w:hAnsi="Times New Roman;serif"/>
          <w:b w:val="false"/>
          <w:color w:val="000000"/>
          <w:sz w:val="24"/>
        </w:rPr>
        <w:t>. With respect to Eligible Employees, the term “Initial Deferral Election” means one or more written elections provided by the Administrator and filed with the Administrator in accordance with Article 3, pursuant to which an Eligible Employee may:</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the limitations described in Section 2.42.3, </w:t>
      </w:r>
    </w:p>
    <w:p>
      <w:pPr>
        <w:pStyle w:val="TextBody"/>
        <w:bidi w:val="0"/>
        <w:spacing w:lineRule="auto" w:line="240" w:before="0" w:after="240"/>
        <w:ind w:left="0" w:right="0" w:firstLine="2880"/>
        <w:jc w:val="left"/>
        <w:rPr/>
      </w:pPr>
      <w:r>
        <w:rPr>
          <w:rFonts w:ascii="Times New Roman;serif" w:hAnsi="Times New Roman;serif"/>
          <w:b w:val="false"/>
          <w:color w:val="000000"/>
          <w:sz w:val="24"/>
        </w:rPr>
        <w:t>(i)</w:t>
      </w:r>
      <w:r>
        <w:rPr>
          <w:rFonts w:ascii="Times New Roman;serif" w:hAnsi="Times New Roman;serif"/>
          <w:b w:val="false"/>
          <w:color w:val="000000"/>
          <w:sz w:val="24"/>
        </w:rPr>
        <w:t>elect to defer Compensation payable for the performance of services as an Eligible Employee following the time that such election is filed; and</w:t>
      </w:r>
    </w:p>
    <w:p>
      <w:pPr>
        <w:pStyle w:val="TextBody"/>
        <w:bidi w:val="0"/>
        <w:spacing w:lineRule="auto" w:line="240" w:before="0" w:after="240"/>
        <w:ind w:left="0" w:right="0" w:firstLine="2880"/>
        <w:jc w:val="left"/>
        <w:rPr/>
      </w:pPr>
      <w:r>
        <w:rPr>
          <w:rFonts w:ascii="Times New Roman;serif" w:hAnsi="Times New Roman;serif"/>
          <w:b w:val="false"/>
          <w:color w:val="000000"/>
          <w:sz w:val="24"/>
        </w:rPr>
        <w:t>(ii)</w:t>
      </w:r>
      <w:r>
        <w:rPr>
          <w:rFonts w:ascii="Times New Roman;serif" w:hAnsi="Times New Roman;serif"/>
          <w:b w:val="false"/>
          <w:color w:val="000000"/>
          <w:sz w:val="24"/>
        </w:rPr>
        <w:t xml:space="preserve">with respect to an Eligible Employee who is an RSU Deferral Eligible Employee, elect to defer the receipt of Restricted Stock Units that qualify as Performance-Based Compensation; and </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Designate the time of payment of the amount of deferred Compensation and Deferred Stock Units to which the Initial Deferral Election relates.</w:t>
      </w:r>
    </w:p>
    <w:p>
      <w:pPr>
        <w:pStyle w:val="TextBody"/>
        <w:bidi w:val="0"/>
        <w:spacing w:lineRule="auto" w:line="240" w:before="0" w:after="240"/>
        <w:ind w:left="0" w:right="0" w:firstLine="2160"/>
        <w:jc w:val="left"/>
        <w:rPr/>
      </w:pPr>
      <w:r>
        <w:rPr>
          <w:rFonts w:ascii="Times New Roman;serif" w:hAnsi="Times New Roman;serif"/>
          <w:b w:val="false"/>
          <w:color w:val="000000"/>
          <w:sz w:val="24"/>
        </w:rPr>
        <w:t>2.41.3.</w:t>
      </w:r>
      <w:r>
        <w:rPr>
          <w:rFonts w:ascii="Times New Roman;serif" w:hAnsi="Times New Roman;serif"/>
          <w:b w:val="false"/>
          <w:color w:val="000000"/>
          <w:sz w:val="24"/>
        </w:rPr>
        <w:t>The following rules shall apply to Initial Deferral Elections other than Initial Deferral Elections described in Section 2.42.2(a)(ii):</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the limits on deferrals of Compensation described in Section 2.42.3(b) and Section 2.42.3(c): </w:t>
      </w:r>
    </w:p>
    <w:p>
      <w:pPr>
        <w:pStyle w:val="TextBody"/>
        <w:bidi w:val="0"/>
        <w:spacing w:lineRule="auto" w:line="240" w:before="0" w:after="240"/>
        <w:ind w:left="0" w:right="0" w:firstLine="2880"/>
        <w:jc w:val="left"/>
        <w:rPr/>
      </w:pPr>
      <w:r>
        <w:rPr>
          <w:rFonts w:ascii="Times New Roman;serif" w:hAnsi="Times New Roman;serif"/>
          <w:b w:val="false"/>
          <w:color w:val="000000"/>
          <w:sz w:val="24"/>
        </w:rPr>
        <w:t>(i)</w:t>
      </w:r>
      <w:r>
        <w:rPr>
          <w:rFonts w:ascii="Times New Roman;serif" w:hAnsi="Times New Roman;serif"/>
          <w:b w:val="false"/>
          <w:color w:val="000000"/>
          <w:sz w:val="24"/>
        </w:rPr>
        <w:t>the maximum amount of base salary available for deferral shall be determined net of required withholdings and deductions as determined by the Administrator in its sole discretion, but shall in no event be more than 85% of the Participant’s base salary; and</w:t>
      </w:r>
    </w:p>
    <w:p>
      <w:pPr>
        <w:pStyle w:val="TextBody"/>
        <w:bidi w:val="0"/>
        <w:spacing w:lineRule="auto" w:line="240" w:before="0" w:after="240"/>
        <w:ind w:left="0" w:right="0" w:firstLine="2880"/>
        <w:jc w:val="left"/>
        <w:rPr/>
      </w:pPr>
      <w:r>
        <w:rPr>
          <w:rFonts w:ascii="Times New Roman;serif" w:hAnsi="Times New Roman;serif"/>
          <w:b w:val="false"/>
          <w:color w:val="000000"/>
          <w:sz w:val="24"/>
        </w:rPr>
        <w:t>(ii)</w:t>
      </w:r>
      <w:r>
        <w:rPr>
          <w:rFonts w:ascii="Times New Roman;serif" w:hAnsi="Times New Roman;serif"/>
          <w:b w:val="false"/>
          <w:color w:val="000000"/>
          <w:sz w:val="24"/>
        </w:rPr>
        <w:t>the maximum amount of a Signing Bonus available for deferral pursuant to an Initial Deferral Election shall not exceed 50% of the Signing Bonus, except as otherwise determined by the Administrator in its discretion on an exceptions basis for Participants who are not Section 16 Officers.</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The maximum amount subject to Initial Deferral Elections for any Plan Year shall not exceed 35% of Total Compensation, except as otherwise determined by the Administrator in its discretion on an exceptions basis for Participants who are not Section 16 Officers.</w:t>
      </w:r>
    </w:p>
    <w:p>
      <w:pPr>
        <w:pStyle w:val="TextBody"/>
        <w:bidi w:val="0"/>
        <w:spacing w:lineRule="auto" w:line="240" w:before="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 xml:space="preserve">No Initial Deferral Election with respect to Compensation expected to be earned in a Plan Year and credited to the “Income Fund” shall be effective if the sum of (w) the value of the Eligible Employee’s Account in the Plan,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(x) the value of the Eligible Employee’s Account in the Prior DC Plan,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(y) the value of the Eligible Employee’s Account in the Prior Equity Plan,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(z) the value of the Eligible Employee’s “deferral account” in the 2027 DC Plan, in each case to the extent such Account is credited to the “Income Fund”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70890"/>
                <wp:effectExtent l="0" t="0" r="0" b="0"/>
                <wp:wrapNone/>
                <wp:docPr id="78" name="Frame77"/>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thereunder, exceeds the Contribution Limit with respect to such Plan Year, determined as of September 30th immediately preceding such Plan Year.</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2.42. </w:t>
      </w:r>
      <w:r>
        <w:rPr>
          <w:color w:val="000000"/>
        </w:rPr>
        <w:t>“</w:t>
      </w:r>
      <w:r>
        <w:rPr>
          <w:rFonts w:ascii="Times New Roman;serif" w:hAnsi="Times New Roman;serif"/>
          <w:b w:val="false"/>
          <w:color w:val="000000"/>
          <w:sz w:val="24"/>
          <w:u w:val="single"/>
        </w:rPr>
        <w:t>NBCUniversal</w:t>
      </w:r>
      <w:r>
        <w:rPr>
          <w:color w:val="000000"/>
        </w:rPr>
        <w:t xml:space="preserve">” </w:t>
      </w:r>
      <w:r>
        <w:rPr>
          <w:rFonts w:ascii="Times New Roman;serif" w:hAnsi="Times New Roman;serif"/>
          <w:b w:val="false"/>
          <w:color w:val="000000"/>
          <w:sz w:val="24"/>
        </w:rPr>
        <w:t>means NBCUniversal, LLC, a Delaware limited liability company, and its subsidiaries.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2.43. </w:t>
      </w:r>
      <w:r>
        <w:rPr>
          <w:color w:val="000000"/>
        </w:rPr>
        <w:t>“</w:t>
      </w:r>
      <w:r>
        <w:rPr>
          <w:rFonts w:ascii="Times New Roman;serif" w:hAnsi="Times New Roman;serif"/>
          <w:b w:val="false"/>
          <w:color w:val="000000"/>
          <w:sz w:val="24"/>
          <w:u w:val="single"/>
        </w:rPr>
        <w:t>New Key Employee</w:t>
      </w:r>
      <w:r>
        <w:rPr>
          <w:color w:val="000000"/>
        </w:rPr>
        <w:t xml:space="preserve">” </w:t>
      </w:r>
      <w:r>
        <w:rPr>
          <w:rFonts w:ascii="Times New Roman;serif" w:hAnsi="Times New Roman;serif"/>
          <w:b w:val="false"/>
          <w:color w:val="000000"/>
          <w:sz w:val="24"/>
        </w:rPr>
        <w:t xml:space="preserve">means: </w:t>
      </w:r>
    </w:p>
    <w:p>
      <w:pPr>
        <w:pStyle w:val="TextBody"/>
        <w:bidi w:val="0"/>
        <w:spacing w:lineRule="auto" w:line="240" w:before="0" w:after="240"/>
        <w:ind w:left="0" w:right="0" w:firstLine="2160"/>
        <w:jc w:val="left"/>
        <w:rPr/>
      </w:pPr>
      <w:r>
        <w:rPr>
          <w:rFonts w:ascii="Times New Roman;serif" w:hAnsi="Times New Roman;serif"/>
          <w:b w:val="false"/>
          <w:color w:val="000000"/>
          <w:sz w:val="24"/>
        </w:rPr>
        <w:t>2.43.1.</w:t>
      </w:r>
      <w:r>
        <w:rPr>
          <w:rFonts w:ascii="Times New Roman;serif" w:hAnsi="Times New Roman;serif"/>
          <w:b w:val="false"/>
          <w:color w:val="000000"/>
          <w:sz w:val="24"/>
          <w:u w:val="single"/>
        </w:rPr>
        <w:t>Employees of Comcast</w:t>
      </w:r>
      <w:r>
        <w:rPr>
          <w:rFonts w:ascii="Times New Roman;serif" w:hAnsi="Times New Roman;serif"/>
          <w:b w:val="false"/>
          <w:color w:val="000000"/>
          <w:sz w:val="24"/>
        </w:rPr>
        <w:t>.</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Except as provided in Section 2.44.4, each employee of a Participating Company other than NBCUniversal and Comcast Spectacor:</w:t>
      </w:r>
    </w:p>
    <w:p>
      <w:pPr>
        <w:pStyle w:val="TextBody"/>
        <w:bidi w:val="0"/>
        <w:spacing w:lineRule="auto" w:line="240" w:before="0" w:after="240"/>
        <w:ind w:left="0" w:right="0" w:firstLine="2880"/>
        <w:jc w:val="left"/>
        <w:rPr/>
      </w:pPr>
      <w:r>
        <w:rPr>
          <w:rFonts w:ascii="Times New Roman;serif" w:hAnsi="Times New Roman;serif"/>
          <w:b w:val="false"/>
          <w:color w:val="000000"/>
          <w:sz w:val="24"/>
        </w:rPr>
        <w:t>(i)</w:t>
      </w:r>
      <w:r>
        <w:rPr>
          <w:rFonts w:ascii="Times New Roman;serif" w:hAnsi="Times New Roman;serif"/>
          <w:b w:val="false"/>
          <w:color w:val="000000"/>
          <w:sz w:val="24"/>
        </w:rPr>
        <w:t xml:space="preserve">who (x) becomes an employee of a Participating Company and (y) has an Annual Rate of Pay of $350,000 or more as of his employment commencement date; or </w:t>
      </w:r>
    </w:p>
    <w:p>
      <w:pPr>
        <w:pStyle w:val="TextBody"/>
        <w:bidi w:val="0"/>
        <w:spacing w:lineRule="auto" w:line="240" w:before="0" w:after="240"/>
        <w:ind w:left="0" w:right="0" w:firstLine="2880"/>
        <w:jc w:val="left"/>
        <w:rPr/>
      </w:pPr>
      <w:r>
        <w:rPr>
          <w:rFonts w:ascii="Times New Roman;serif" w:hAnsi="Times New Roman;serif"/>
          <w:b w:val="false"/>
          <w:color w:val="000000"/>
          <w:sz w:val="24"/>
        </w:rPr>
        <w:t>(ii)</w:t>
      </w:r>
      <w:r>
        <w:rPr>
          <w:rFonts w:ascii="Times New Roman;serif" w:hAnsi="Times New Roman;serif"/>
          <w:b w:val="false"/>
          <w:color w:val="000000"/>
          <w:sz w:val="24"/>
        </w:rPr>
        <w:t>who (x) has an Annual Rate of Pay that is increased to $350,000 or more and (y) immediately preceding such increase, was not an Eligible Employee.</w:t>
      </w:r>
    </w:p>
    <w:p>
      <w:pPr>
        <w:pStyle w:val="TextBody"/>
        <w:bidi w:val="0"/>
        <w:spacing w:lineRule="auto" w:line="240" w:before="0" w:after="240"/>
        <w:ind w:left="0" w:right="0" w:firstLine="2160"/>
        <w:jc w:val="left"/>
        <w:rPr/>
      </w:pPr>
      <w:r>
        <w:rPr>
          <w:rFonts w:ascii="Times New Roman;serif" w:hAnsi="Times New Roman;serif"/>
          <w:b w:val="false"/>
          <w:color w:val="000000"/>
          <w:sz w:val="24"/>
        </w:rPr>
        <w:t>2.43.2.</w:t>
      </w:r>
      <w:r>
        <w:rPr>
          <w:rFonts w:ascii="Times New Roman;serif" w:hAnsi="Times New Roman;serif"/>
          <w:b w:val="false"/>
          <w:color w:val="000000"/>
          <w:sz w:val="24"/>
          <w:u w:val="single"/>
        </w:rPr>
        <w:t>Employees of NBCUniversal</w:t>
      </w:r>
      <w:r>
        <w:rPr>
          <w:rFonts w:ascii="Times New Roman;serif" w:hAnsi="Times New Roman;serif"/>
          <w:b w:val="false"/>
          <w:color w:val="000000"/>
          <w:sz w:val="24"/>
        </w:rPr>
        <w:t>. Except as provided in Section 2.44.4, each employee of NBCUniversal who (x) first becomes a member of the NBCUniversal Executive Committee or the NBCUniversal Management Committee and approved by the Administrator during a Plan Year and (y) immediately preceding the effective date of such membership, was not an Eligible Employee.</w:t>
      </w:r>
    </w:p>
    <w:p>
      <w:pPr>
        <w:pStyle w:val="TextBody"/>
        <w:bidi w:val="0"/>
        <w:spacing w:lineRule="auto" w:line="240" w:before="0" w:after="240"/>
        <w:ind w:left="0" w:right="0" w:firstLine="2160"/>
        <w:jc w:val="left"/>
        <w:rPr/>
      </w:pPr>
      <w:r>
        <w:rPr>
          <w:rFonts w:ascii="Times New Roman;serif" w:hAnsi="Times New Roman;serif"/>
          <w:b w:val="false"/>
          <w:color w:val="000000"/>
          <w:sz w:val="24"/>
        </w:rPr>
        <w:t>2.43.3.</w:t>
      </w:r>
      <w:r>
        <w:rPr>
          <w:rFonts w:ascii="Times New Roman;serif" w:hAnsi="Times New Roman;serif"/>
          <w:b w:val="false"/>
          <w:color w:val="000000"/>
          <w:sz w:val="24"/>
          <w:u w:val="single"/>
        </w:rPr>
        <w:t>Employees of Comcast Spectacor</w:t>
      </w:r>
      <w:r>
        <w:rPr>
          <w:rFonts w:ascii="Times New Roman;serif" w:hAnsi="Times New Roman;serif"/>
          <w:b w:val="false"/>
          <w:color w:val="000000"/>
          <w:sz w:val="24"/>
        </w:rPr>
        <w:t xml:space="preserve">. Except as provided in Section 2.44.4, each employee of Comcast Spectacor: </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 xml:space="preserve">Who (i) becomes an employee of Comcast Spectacor, (ii) has an Annual Rate of Pay of $350,000 or more as of his employment commencement date and (iii) is designated as an Eligible Comcast Spectacor Employee by the Administrator; or </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Who (x) is designated as an Eligible Comcast Spectacor Employee by the Administrator, (y) has an Annual Rate of Pay that is increased to $350,000 or more and (z) immediately preceding such increase, was not an Eligible Employee.</w:t>
      </w:r>
    </w:p>
    <w:p>
      <w:pPr>
        <w:pStyle w:val="TextBody"/>
        <w:bidi w:val="0"/>
        <w:spacing w:lineRule="auto" w:line="240" w:before="0" w:after="240"/>
        <w:ind w:left="0" w:right="0" w:firstLine="2160"/>
        <w:jc w:val="left"/>
        <w:rPr/>
      </w:pPr>
      <w:r>
        <w:rPr>
          <w:rFonts w:ascii="Times New Roman;serif" w:hAnsi="Times New Roman;serif"/>
          <w:b w:val="false"/>
          <w:color w:val="000000"/>
          <w:sz w:val="24"/>
        </w:rPr>
        <w:t>2.43.4.</w:t>
      </w:r>
      <w:r>
        <w:rPr>
          <w:rFonts w:ascii="Times New Roman;serif" w:hAnsi="Times New Roman;serif"/>
          <w:b w:val="false"/>
          <w:color w:val="000000"/>
          <w:sz w:val="24"/>
        </w:rPr>
        <w:t>Notwithstanding Section 2.44.1, 2.44.2, 2.44.3 or 3.3(b) to the contrary, no individual shall be treated as a New Key Employee or a New Non-Employee Director with respect to any Plan Year if:</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Such employee or Non-Employee Director was eligible to participate in another plan sponsored by the Company or an Affiliate of the Company which is considered to be of a similar type as defined in Treasury Regulation § 1.409A-1(c)(2)(i)(A) or (B) with respect to such Plan Year; or</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Such employee or Non-Employee Director has been eligible to participate in the Plan or any other plan referenced in Section 2.44.4(a) (other than with respect to the accrual of earnings) at any time during the 24-month period ending on the date such individual would, but for this Section 2.44.4, otherwise become a New Key Employee. </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2.44. </w:t>
      </w:r>
      <w:r>
        <w:rPr>
          <w:color w:val="000000"/>
        </w:rPr>
        <w:t>“</w:t>
      </w:r>
      <w:r>
        <w:rPr>
          <w:rFonts w:ascii="Times New Roman;serif" w:hAnsi="Times New Roman;serif"/>
          <w:b w:val="false"/>
          <w:color w:val="000000"/>
          <w:sz w:val="24"/>
          <w:u w:val="single"/>
        </w:rPr>
        <w:t>Non-Employee Director</w:t>
      </w:r>
      <w:r>
        <w:rPr>
          <w:color w:val="000000"/>
        </w:rPr>
        <w:t xml:space="preserve">” </w:t>
      </w:r>
      <w:r>
        <w:rPr>
          <w:rFonts w:ascii="Times New Roman;serif" w:hAnsi="Times New Roman;serif"/>
          <w:b w:val="false"/>
          <w:color w:val="000000"/>
          <w:sz w:val="24"/>
        </w:rPr>
        <w:t xml:space="preserve">means a member of the Board who is not an Eligible Employee of a Participating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70890"/>
                <wp:effectExtent l="0" t="0" r="0" b="0"/>
                <wp:wrapNone/>
                <wp:docPr id="79" name="Frame78"/>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2.45. </w:t>
      </w:r>
      <w:r>
        <w:rPr>
          <w:color w:val="000000"/>
        </w:rPr>
        <w:t>“</w:t>
      </w:r>
      <w:r>
        <w:rPr>
          <w:rFonts w:ascii="Times New Roman;serif" w:hAnsi="Times New Roman;serif"/>
          <w:b w:val="false"/>
          <w:color w:val="000000"/>
          <w:sz w:val="24"/>
          <w:u w:val="single"/>
        </w:rPr>
        <w:t>Normal Retirement</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2160"/>
        <w:jc w:val="left"/>
        <w:rPr/>
      </w:pPr>
      <w:r>
        <w:rPr>
          <w:rFonts w:ascii="Times New Roman;serif" w:hAnsi="Times New Roman;serif"/>
          <w:b w:val="false"/>
          <w:color w:val="000000"/>
          <w:sz w:val="24"/>
        </w:rPr>
        <w:t>2.45.1.</w:t>
      </w:r>
      <w:r>
        <w:rPr>
          <w:rFonts w:ascii="Times New Roman;serif" w:hAnsi="Times New Roman;serif"/>
          <w:b w:val="false"/>
          <w:color w:val="000000"/>
          <w:sz w:val="24"/>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pStyle w:val="TextBody"/>
        <w:bidi w:val="0"/>
        <w:spacing w:lineRule="auto" w:line="240" w:before="0" w:after="240"/>
        <w:ind w:left="0" w:right="0" w:firstLine="2160"/>
        <w:jc w:val="left"/>
        <w:rPr/>
      </w:pPr>
      <w:r>
        <w:rPr>
          <w:rFonts w:ascii="Times New Roman;serif" w:hAnsi="Times New Roman;serif"/>
          <w:b w:val="false"/>
          <w:color w:val="000000"/>
          <w:sz w:val="24"/>
        </w:rPr>
        <w:t>2.45.2.</w:t>
      </w:r>
      <w:r>
        <w:rPr>
          <w:rFonts w:ascii="Times New Roman;serif" w:hAnsi="Times New Roman;serif"/>
          <w:b w:val="false"/>
          <w:color w:val="000000"/>
          <w:sz w:val="24"/>
        </w:rPr>
        <w:t>For a Participant who is a Non-Employee Director or Director Emeritus immediately preceding his termination of service, the Participant’s normal retirement from the Board.</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2.46. </w:t>
      </w:r>
      <w:r>
        <w:rPr>
          <w:color w:val="000000"/>
        </w:rPr>
        <w:t>“</w:t>
      </w:r>
      <w:r>
        <w:rPr>
          <w:rFonts w:ascii="Times New Roman;serif" w:hAnsi="Times New Roman;serif"/>
          <w:b w:val="false"/>
          <w:color w:val="000000"/>
          <w:sz w:val="24"/>
          <w:u w:val="single"/>
        </w:rPr>
        <w:t>Other Investment Fund</w:t>
      </w:r>
      <w:r>
        <w:rPr>
          <w:color w:val="000000"/>
        </w:rPr>
        <w:t xml:space="preserve">” </w:t>
      </w:r>
      <w:r>
        <w:rPr>
          <w:rFonts w:ascii="Times New Roman;serif" w:hAnsi="Times New Roman;serif"/>
          <w:b w:val="false"/>
          <w:color w:val="000000"/>
          <w:sz w:val="24"/>
        </w:rPr>
        <w:t>means the Company Stock Fund and such other hypothetical investment funds designated by the Administrator with respect to any Participant, pursuant to which income, gains and losses are credited to such Participant’s Account as if the Account, to the extent deemed invested in such Other Investment Fund, were credited with income, gains and losses as if actually invested in such fund. The Participant shall designate the Other Investment Funds in which the Participant’s Account shall be invested in accordance with rules established by the Administrator, including with respect to the eligibility of a Participant to participate in a particular investment fund that is an Other Investment Fund.</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2.47. </w:t>
      </w:r>
      <w:r>
        <w:rPr>
          <w:color w:val="000000"/>
        </w:rPr>
        <w:t>“</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means each individual who has made an Initial Deferral Election or a Regular Deferral Election or for whom an Account is established pursuant to Section 5.1, and who has an undistributed amount credited to an Account under the Plan, including an Active Participant, a Deceased Participant, a Retired Participant, an RSU Deferral Eligible Employee, a Disabled Participant, and an Inactive Participant.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2.48. </w:t>
      </w:r>
      <w:r>
        <w:rPr>
          <w:color w:val="000000"/>
        </w:rPr>
        <w:t>“</w:t>
      </w:r>
      <w:r>
        <w:rPr>
          <w:rFonts w:ascii="Times New Roman;serif" w:hAnsi="Times New Roman;serif"/>
          <w:b w:val="false"/>
          <w:color w:val="000000"/>
          <w:sz w:val="24"/>
          <w:u w:val="single"/>
        </w:rPr>
        <w:t>Participating Company</w:t>
      </w:r>
      <w:r>
        <w:rPr>
          <w:color w:val="000000"/>
        </w:rPr>
        <w:t xml:space="preserve">” </w:t>
      </w:r>
      <w:r>
        <w:rPr>
          <w:rFonts w:ascii="Times New Roman;serif" w:hAnsi="Times New Roman;serif"/>
          <w:b w:val="false"/>
          <w:color w:val="000000"/>
          <w:sz w:val="24"/>
        </w:rPr>
        <w:t xml:space="preserve">means the Company and each Affiliate of the Company in which the Company owns, directly or indirectly, 50 percent or more of the voting interests or value, other than such an Affiliate designated by the Administrator as an excluded Affiliate;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any Affiliate organized outside the United States shall be an excluded Affiliate except to the extent otherwise designated by the Administrator. Notwithstanding the foregoing, the Administrator may delegate its authority to designate an eligible Affiliate as an excluded Affiliate under this Section 2.49 to an officer of the Company or committee of two or more officers of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2.49. </w:t>
      </w:r>
      <w:r>
        <w:rPr>
          <w:color w:val="000000"/>
        </w:rPr>
        <w:t>“</w:t>
      </w:r>
      <w:r>
        <w:rPr>
          <w:rFonts w:ascii="Times New Roman;serif" w:hAnsi="Times New Roman;serif"/>
          <w:b w:val="false"/>
          <w:color w:val="000000"/>
          <w:sz w:val="24"/>
          <w:u w:val="single"/>
        </w:rPr>
        <w:t>Performance-Based Compensation</w:t>
      </w:r>
      <w:r>
        <w:rPr>
          <w:color w:val="000000"/>
        </w:rPr>
        <w:t xml:space="preserve">” </w:t>
      </w:r>
      <w:r>
        <w:rPr>
          <w:rFonts w:ascii="Times New Roman;serif" w:hAnsi="Times New Roman;serif"/>
          <w:b w:val="false"/>
          <w:color w:val="000000"/>
          <w:sz w:val="24"/>
        </w:rPr>
        <w:t>means Compensation or an Award that satisfies the requirements for “Performance-Based Compensation” under Section 409A.</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2.50. </w:t>
      </w:r>
      <w:r>
        <w:rPr>
          <w:color w:val="000000"/>
        </w:rPr>
        <w:t>“</w:t>
      </w:r>
      <w:r>
        <w:rPr>
          <w:rFonts w:ascii="Times New Roman;serif" w:hAnsi="Times New Roman;serif"/>
          <w:b w:val="false"/>
          <w:color w:val="000000"/>
          <w:sz w:val="24"/>
          <w:u w:val="single"/>
        </w:rPr>
        <w:t>Performance Period</w:t>
      </w:r>
      <w:r>
        <w:rPr>
          <w:color w:val="000000"/>
        </w:rPr>
        <w:t xml:space="preserve">” </w:t>
      </w:r>
      <w:r>
        <w:rPr>
          <w:rFonts w:ascii="Times New Roman;serif" w:hAnsi="Times New Roman;serif"/>
          <w:b w:val="false"/>
          <w:color w:val="000000"/>
          <w:sz w:val="24"/>
        </w:rPr>
        <w:t>means a period of at least 12 months during which a Participant may earn Performance-Based Compensation. The Performance Period for annual incentive bonuses earned by Eligible Comcast Spectacor Employees shall be Comcast Spectacor’s fiscal year ending June 30.</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2.51. </w:t>
      </w: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 individual, a corporation, a partnership, an association, a trust or any other entity or organization.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2.52. </w:t>
      </w:r>
      <w:r>
        <w:rPr>
          <w:color w:val="000000"/>
        </w:rPr>
        <w:t>“</w:t>
      </w:r>
      <w:r>
        <w:rPr>
          <w:rFonts w:ascii="Times New Roman;serif" w:hAnsi="Times New Roman;serif"/>
          <w:b w:val="false"/>
          <w:color w:val="000000"/>
          <w:sz w:val="24"/>
          <w:u w:val="single"/>
        </w:rPr>
        <w:t>Plan</w:t>
      </w:r>
      <w:r>
        <w:rPr>
          <w:color w:val="000000"/>
        </w:rPr>
        <w:t xml:space="preserve">” </w:t>
      </w:r>
      <w:r>
        <w:rPr>
          <w:rFonts w:ascii="Times New Roman;serif" w:hAnsi="Times New Roman;serif"/>
          <w:b w:val="false"/>
          <w:color w:val="000000"/>
          <w:sz w:val="24"/>
        </w:rPr>
        <w:t>means the Comcast Corporation 2005 Deferred Compensation Plan, as set forth herein, and as may be amended or amended and restated from time to time.</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2.53. </w:t>
      </w:r>
      <w:r>
        <w:rPr>
          <w:color w:val="000000"/>
        </w:rPr>
        <w:t>“</w:t>
      </w:r>
      <w:r>
        <w:rPr>
          <w:rFonts w:ascii="Times New Roman;serif" w:hAnsi="Times New Roman;serif"/>
          <w:b w:val="false"/>
          <w:color w:val="000000"/>
          <w:sz w:val="24"/>
          <w:u w:val="single"/>
        </w:rPr>
        <w:t>Plan Year</w:t>
      </w:r>
      <w:r>
        <w:rPr>
          <w:color w:val="000000"/>
        </w:rPr>
        <w:t xml:space="preserve">” </w:t>
      </w:r>
      <w:r>
        <w:rPr>
          <w:rFonts w:ascii="Times New Roman;serif" w:hAnsi="Times New Roman;serif"/>
          <w:b w:val="false"/>
          <w:color w:val="000000"/>
          <w:sz w:val="24"/>
        </w:rPr>
        <w:t>means the calendar year.</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2.54. </w:t>
      </w:r>
      <w:r>
        <w:rPr>
          <w:color w:val="000000"/>
        </w:rPr>
        <w:t>“</w:t>
      </w:r>
      <w:r>
        <w:rPr>
          <w:rFonts w:ascii="Times New Roman;serif" w:hAnsi="Times New Roman;serif"/>
          <w:b w:val="false"/>
          <w:color w:val="000000"/>
          <w:sz w:val="24"/>
          <w:u w:val="single"/>
        </w:rPr>
        <w:t>Prime Rate</w:t>
      </w:r>
      <w:r>
        <w:rPr>
          <w:color w:val="000000"/>
        </w:rPr>
        <w:t xml:space="preserve">” </w:t>
      </w:r>
      <w:r>
        <w:rPr>
          <w:rFonts w:ascii="Times New Roman;serif" w:hAnsi="Times New Roman;serif"/>
          <w:b w:val="false"/>
          <w:color w:val="000000"/>
          <w:sz w:val="24"/>
        </w:rPr>
        <w:t xml:space="preserve">means, for any calendar year, the interest rate that, when compounded daily pursuant to rules established by the Administrator from time to time, is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70890"/>
                <wp:effectExtent l="0" t="0" r="0" b="0"/>
                <wp:wrapNone/>
                <wp:docPr id="80" name="Frame79"/>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4"/>
        </w:rPr>
        <w:t xml:space="preserve">mathematically equivalent to the prime rate of interest (compounded annually) as published in the Eastern Edition of </w:t>
      </w:r>
      <w:r>
        <w:rPr>
          <w:rFonts w:ascii="Times New Roman;serif" w:hAnsi="Times New Roman;serif"/>
          <w:b w:val="false"/>
          <w:color w:val="000000"/>
          <w:sz w:val="24"/>
          <w:u w:val="single"/>
        </w:rPr>
        <w:t>The Wall Street Journal</w:t>
      </w:r>
      <w:r>
        <w:rPr>
          <w:color w:val="000000"/>
        </w:rPr>
        <w:t xml:space="preserve"> </w:t>
      </w:r>
      <w:r>
        <w:rPr>
          <w:rFonts w:ascii="Times New Roman;serif" w:hAnsi="Times New Roman;serif"/>
          <w:b w:val="false"/>
          <w:color w:val="000000"/>
          <w:sz w:val="24"/>
        </w:rPr>
        <w:t>on the last business day preceding the first day of such calendar year, and as adjusted as of the last business day preceding the first day of each calendar year beginning thereafter.</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2.55. </w:t>
      </w:r>
      <w:r>
        <w:rPr>
          <w:color w:val="000000"/>
        </w:rPr>
        <w:t>    “</w:t>
      </w:r>
      <w:r>
        <w:rPr>
          <w:rFonts w:ascii="Times New Roman;serif" w:hAnsi="Times New Roman;serif"/>
          <w:b w:val="false"/>
          <w:color w:val="000000"/>
          <w:sz w:val="24"/>
          <w:u w:val="single"/>
        </w:rPr>
        <w:t>Prior DC Plan</w:t>
      </w:r>
      <w:r>
        <w:rPr>
          <w:color w:val="000000"/>
        </w:rPr>
        <w:t xml:space="preserve">” </w:t>
      </w:r>
      <w:r>
        <w:rPr>
          <w:rFonts w:ascii="Times New Roman;serif" w:hAnsi="Times New Roman;serif"/>
          <w:b w:val="false"/>
          <w:color w:val="000000"/>
          <w:sz w:val="24"/>
        </w:rPr>
        <w:t>means the Comcast Corporation 2002 Deferred Compensation Plan, as may be amended or amended and restated from time to time.</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2.56. </w:t>
      </w:r>
      <w:r>
        <w:rPr>
          <w:color w:val="000000"/>
        </w:rPr>
        <w:t>“</w:t>
      </w:r>
      <w:r>
        <w:rPr>
          <w:rFonts w:ascii="Times New Roman;serif" w:hAnsi="Times New Roman;serif"/>
          <w:b w:val="false"/>
          <w:color w:val="000000"/>
          <w:sz w:val="24"/>
          <w:u w:val="single"/>
        </w:rPr>
        <w:t>Protected Account Balance</w:t>
      </w:r>
      <w:r>
        <w:rPr>
          <w:color w:val="000000"/>
        </w:rPr>
        <w:t xml:space="preserve">” </w:t>
      </w:r>
      <w:r>
        <w:rPr>
          <w:rFonts w:ascii="Times New Roman;serif" w:hAnsi="Times New Roman;serif"/>
          <w:b w:val="false"/>
          <w:color w:val="000000"/>
          <w:sz w:val="24"/>
        </w:rPr>
        <w:t>means a Participant’s Protected Account Balance, as determined under the terms of the Plan as in effect immediately before the Plan Merger Date, including interest credits attributable to such amounts. Notwithstanding this Section 2.57, except as otherwise provided by the Administrator, the Protected Account Balance of an Eligible Comcast Employee who is re-employed by a Participating Company following an employment termination date shall be zero.</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2.57. </w:t>
      </w:r>
      <w:r>
        <w:rPr>
          <w:color w:val="000000"/>
        </w:rPr>
        <w:t>“</w:t>
      </w:r>
      <w:r>
        <w:rPr>
          <w:rFonts w:ascii="Times New Roman;serif" w:hAnsi="Times New Roman;serif"/>
          <w:b w:val="false"/>
          <w:color w:val="000000"/>
          <w:sz w:val="24"/>
          <w:u w:val="single"/>
        </w:rPr>
        <w:t>Regular Deferral Election</w:t>
      </w:r>
      <w:r>
        <w:rPr>
          <w:color w:val="000000"/>
        </w:rPr>
        <w:t xml:space="preserve">” </w:t>
      </w:r>
      <w:r>
        <w:rPr>
          <w:rFonts w:ascii="Times New Roman;serif" w:hAnsi="Times New Roman;serif"/>
          <w:b w:val="false"/>
          <w:color w:val="000000"/>
          <w:sz w:val="24"/>
        </w:rPr>
        <w:t xml:space="preserve">means a written election on a form provided by the Administrator and filed with the Administrator in accordance with Article 3, pursuant to which a Participant: </w:t>
      </w:r>
    </w:p>
    <w:p>
      <w:pPr>
        <w:pStyle w:val="TextBody"/>
        <w:bidi w:val="0"/>
        <w:spacing w:lineRule="auto" w:line="240" w:before="0" w:after="240"/>
        <w:ind w:left="0" w:right="0" w:firstLine="2160"/>
        <w:jc w:val="left"/>
        <w:rPr/>
      </w:pPr>
      <w:r>
        <w:rPr>
          <w:rFonts w:ascii="Times New Roman;serif" w:hAnsi="Times New Roman;serif"/>
          <w:b w:val="false"/>
          <w:color w:val="000000"/>
          <w:sz w:val="24"/>
        </w:rPr>
        <w:t>2.57.1.</w:t>
      </w:r>
      <w:r>
        <w:rPr>
          <w:rFonts w:ascii="Times New Roman;serif" w:hAnsi="Times New Roman;serif"/>
          <w:b w:val="false"/>
          <w:color w:val="000000"/>
          <w:sz w:val="24"/>
        </w:rPr>
        <w:t xml:space="preserve">Elects to defer the receipt of a Signing Bonus and designates the distribution date of such amounts;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 Regular Deferral Election shall be effective with respect to the deferral of a Signing Bonus unless (a) such Signing Bonus is forfeitable if the Participant fails to continue in service to a specified date (other than as the result of the Participant’s termination of employment because of death, Disability or Company-initiated termination without cause, as determined by the Administrator), and (b) the Regular Deferral Election is filed with the Administrator on or before the 30th day following the date of grant of such Signing Bonus and at least one year before such specified date.</w:t>
      </w:r>
    </w:p>
    <w:p>
      <w:pPr>
        <w:pStyle w:val="TextBody"/>
        <w:bidi w:val="0"/>
        <w:spacing w:lineRule="auto" w:line="240" w:before="0" w:after="240"/>
        <w:ind w:left="0" w:right="0" w:firstLine="2160"/>
        <w:jc w:val="left"/>
        <w:rPr/>
      </w:pPr>
      <w:r>
        <w:rPr>
          <w:rFonts w:ascii="Times New Roman;serif" w:hAnsi="Times New Roman;serif"/>
          <w:b w:val="false"/>
          <w:color w:val="000000"/>
          <w:sz w:val="24"/>
        </w:rPr>
        <w:t>2.57.2.</w:t>
      </w:r>
      <w:r>
        <w:rPr>
          <w:rFonts w:ascii="Times New Roman;serif" w:hAnsi="Times New Roman;serif"/>
          <w:b w:val="false"/>
          <w:color w:val="000000"/>
          <w:sz w:val="24"/>
        </w:rPr>
        <w:t xml:space="preserve">Who is an RSU Deferral Eligible Employee elects to defer the receipt of some or all of the Shares issuable with respect to Restricted Stock Units as to which a Vesting Date has not yet occurred and that are not subject to an Initial Deferral Election, and designates the distribution date of such amounts, by filing a Regular Deferral Election to defer the receipt of such Shares;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no Regular Deferral Election shall be effective with respect to the deferral of the receipt of Shares unless it is filed with the Administrator on or before the close of business at least one year before the scheduled Vesting Date of such Restricted Stock Units. </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2.58. </w:t>
      </w:r>
      <w:r>
        <w:rPr>
          <w:color w:val="000000"/>
        </w:rPr>
        <w:t>“</w:t>
      </w:r>
      <w:r>
        <w:rPr>
          <w:rFonts w:ascii="Times New Roman;serif" w:hAnsi="Times New Roman;serif"/>
          <w:b w:val="false"/>
          <w:color w:val="000000"/>
          <w:sz w:val="24"/>
          <w:u w:val="single"/>
        </w:rPr>
        <w:t>Restatement Effective Date</w:t>
      </w:r>
      <w:r>
        <w:rPr>
          <w:color w:val="000000"/>
        </w:rPr>
        <w:t xml:space="preserve">” </w:t>
      </w:r>
      <w:r>
        <w:rPr>
          <w:rFonts w:ascii="Times New Roman;serif" w:hAnsi="Times New Roman;serif"/>
          <w:b w:val="false"/>
          <w:color w:val="000000"/>
          <w:sz w:val="24"/>
        </w:rPr>
        <w:t>means July 13, 2026.</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2.59. </w:t>
      </w:r>
      <w:r>
        <w:rPr>
          <w:color w:val="000000"/>
        </w:rPr>
        <w:t>“</w:t>
      </w:r>
      <w:r>
        <w:rPr>
          <w:rFonts w:ascii="Times New Roman;serif" w:hAnsi="Times New Roman;serif"/>
          <w:b w:val="false"/>
          <w:color w:val="000000"/>
          <w:sz w:val="24"/>
          <w:u w:val="single"/>
        </w:rPr>
        <w:t>Restricted Stock Unit</w:t>
      </w:r>
      <w:r>
        <w:rPr>
          <w:color w:val="000000"/>
        </w:rPr>
        <w:t xml:space="preserve">” </w:t>
      </w:r>
      <w:r>
        <w:rPr>
          <w:rFonts w:ascii="Times New Roman;serif" w:hAnsi="Times New Roman;serif"/>
          <w:b w:val="false"/>
          <w:color w:val="000000"/>
          <w:sz w:val="24"/>
        </w:rPr>
        <w:t>means a unit that entitles the Participant, upon the Vesting Date set forth in an Award, to receive one Share.</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2.60. </w:t>
      </w:r>
      <w:r>
        <w:rPr>
          <w:color w:val="000000"/>
        </w:rPr>
        <w:t>“</w:t>
      </w:r>
      <w:r>
        <w:rPr>
          <w:rFonts w:ascii="Times New Roman;serif" w:hAnsi="Times New Roman;serif"/>
          <w:b w:val="false"/>
          <w:color w:val="000000"/>
          <w:sz w:val="24"/>
          <w:u w:val="single"/>
        </w:rPr>
        <w:t>Retired Participant</w:t>
      </w:r>
      <w:r>
        <w:rPr>
          <w:color w:val="000000"/>
        </w:rPr>
        <w:t xml:space="preserve">” </w:t>
      </w:r>
      <w:r>
        <w:rPr>
          <w:rFonts w:ascii="Times New Roman;serif" w:hAnsi="Times New Roman;serif"/>
          <w:b w:val="false"/>
          <w:color w:val="000000"/>
          <w:sz w:val="24"/>
        </w:rPr>
        <w:t>means a Participant who has terminated service pursuant to a Normal Retirement.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2.61. </w:t>
      </w:r>
      <w:r>
        <w:rPr>
          <w:color w:val="000000"/>
        </w:rPr>
        <w:t>“</w:t>
      </w:r>
      <w:r>
        <w:rPr>
          <w:rFonts w:ascii="Times New Roman;serif" w:hAnsi="Times New Roman;serif"/>
          <w:b w:val="false"/>
          <w:color w:val="000000"/>
          <w:sz w:val="24"/>
          <w:u w:val="single"/>
        </w:rPr>
        <w:t>RSU Account</w:t>
      </w:r>
      <w:r>
        <w:rPr>
          <w:color w:val="000000"/>
        </w:rPr>
        <w:t xml:space="preserve">” </w:t>
      </w:r>
      <w:r>
        <w:rPr>
          <w:rFonts w:ascii="Times New Roman;serif" w:hAnsi="Times New Roman;serif"/>
          <w:b w:val="false"/>
          <w:color w:val="000000"/>
          <w:sz w:val="24"/>
        </w:rPr>
        <w:t xml:space="preserve">means the portion of a Participant’s Account that is attributable to Deferred Stock Units. </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2.62. </w:t>
      </w:r>
      <w:r>
        <w:rPr>
          <w:color w:val="000000"/>
        </w:rPr>
        <w:t>“</w:t>
      </w:r>
      <w:r>
        <w:rPr>
          <w:rFonts w:ascii="Times New Roman;serif" w:hAnsi="Times New Roman;serif"/>
          <w:b w:val="false"/>
          <w:color w:val="000000"/>
          <w:sz w:val="24"/>
          <w:u w:val="single"/>
        </w:rPr>
        <w:t>RSU Deferral Eligible Employee</w:t>
      </w:r>
      <w:r>
        <w:rPr>
          <w:color w:val="000000"/>
        </w:rPr>
        <w:t xml:space="preserve">” </w:t>
      </w:r>
      <w:r>
        <w:rPr>
          <w:rFonts w:ascii="Times New Roman;serif" w:hAnsi="Times New Roman;serif"/>
          <w:b w:val="false"/>
          <w:color w:val="000000"/>
          <w:sz w:val="24"/>
        </w:rPr>
        <w:t>means each individual described below, solely to the extent determined by the Administrator that such individual is an RSU Deferral Eligible Employee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Administrator may determine from time to time, in its sole discretion, that one or more individuals are not RSU Deferral Eligible Employees):</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70890"/>
                <wp:effectExtent l="0" t="0" r="0" b="0"/>
                <wp:wrapNone/>
                <wp:docPr id="81" name="Frame80"/>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2160"/>
        <w:jc w:val="left"/>
        <w:rPr/>
      </w:pPr>
      <w:r>
        <w:rPr>
          <w:rFonts w:ascii="Times New Roman;serif" w:hAnsi="Times New Roman;serif"/>
          <w:b w:val="false"/>
          <w:color w:val="000000"/>
          <w:sz w:val="24"/>
        </w:rPr>
        <w:t>2.62.1.</w:t>
      </w:r>
      <w:r>
        <w:rPr>
          <w:rFonts w:ascii="Times New Roman;serif" w:hAnsi="Times New Roman;serif"/>
          <w:b w:val="false"/>
          <w:color w:val="000000"/>
          <w:sz w:val="24"/>
        </w:rPr>
        <w:t xml:space="preserve">An Eligible Comcast Employee whose Annual Rate of Pay is $350,000 or more as of both: (a) the date on which an Initial Deferral Election or Regular Deferral Election is filed with the Administrator; and (b) the first day of the calendar year in which such Initial Deferral Election or Regular Deferral Election is filed; </w:t>
      </w:r>
    </w:p>
    <w:p>
      <w:pPr>
        <w:pStyle w:val="TextBody"/>
        <w:bidi w:val="0"/>
        <w:spacing w:lineRule="auto" w:line="240" w:before="0" w:after="240"/>
        <w:ind w:left="0" w:right="0" w:firstLine="2160"/>
        <w:jc w:val="left"/>
        <w:rPr/>
      </w:pPr>
      <w:r>
        <w:rPr>
          <w:rFonts w:ascii="Times New Roman;serif" w:hAnsi="Times New Roman;serif"/>
          <w:b w:val="false"/>
          <w:color w:val="000000"/>
          <w:sz w:val="24"/>
        </w:rPr>
        <w:t>2.62.2.</w:t>
      </w:r>
      <w:r>
        <w:rPr>
          <w:rFonts w:ascii="Times New Roman;serif" w:hAnsi="Times New Roman;serif"/>
          <w:b w:val="false"/>
          <w:color w:val="000000"/>
          <w:sz w:val="24"/>
        </w:rPr>
        <w:t>Each New Key Employee; and</w:t>
      </w:r>
    </w:p>
    <w:p>
      <w:pPr>
        <w:pStyle w:val="TextBody"/>
        <w:bidi w:val="0"/>
        <w:spacing w:lineRule="auto" w:line="240" w:before="0" w:after="240"/>
        <w:ind w:left="0" w:right="0" w:firstLine="2160"/>
        <w:jc w:val="left"/>
        <w:rPr/>
      </w:pPr>
      <w:r>
        <w:rPr>
          <w:rFonts w:ascii="Times New Roman;serif" w:hAnsi="Times New Roman;serif"/>
          <w:b w:val="false"/>
          <w:color w:val="000000"/>
          <w:sz w:val="24"/>
        </w:rPr>
        <w:t>2.62.3.</w:t>
      </w:r>
      <w:r>
        <w:rPr>
          <w:rFonts w:ascii="Times New Roman;serif" w:hAnsi="Times New Roman;serif"/>
          <w:b w:val="false"/>
          <w:color w:val="000000"/>
          <w:sz w:val="24"/>
        </w:rPr>
        <w:t>Each other employee of a Participating Company who is designated by the Administrator, in its sole and absolute discretion, as an RSU Deferral Eligible Employee.</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Notwithstanding anything in this Section 2.63 to the contrary, except as otherwise provided by the Administrator, no Participant who is an employee of NBCUniversal shall be an RSU Deferral Eligible Employee.</w:t>
      </w:r>
    </w:p>
    <w:p>
      <w:pPr>
        <w:pStyle w:val="TextBody"/>
        <w:bidi w:val="0"/>
        <w:spacing w:before="0" w:after="0"/>
        <w:jc w:val="left"/>
        <w:rPr/>
      </w:pPr>
      <w:r>
        <w:rPr/>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2.63. </w:t>
      </w:r>
      <w:r>
        <w:rPr>
          <w:color w:val="000000"/>
        </w:rPr>
        <w:t>“</w:t>
      </w:r>
      <w:r>
        <w:rPr>
          <w:rFonts w:ascii="Times New Roman;serif" w:hAnsi="Times New Roman;serif"/>
          <w:b w:val="false"/>
          <w:color w:val="000000"/>
          <w:sz w:val="24"/>
          <w:u w:val="single"/>
        </w:rPr>
        <w:t>Section 16 Officer</w:t>
      </w:r>
      <w:r>
        <w:rPr>
          <w:color w:val="000000"/>
        </w:rPr>
        <w:t xml:space="preserve">” </w:t>
      </w:r>
      <w:r>
        <w:rPr>
          <w:rFonts w:ascii="Times New Roman;serif" w:hAnsi="Times New Roman;serif"/>
          <w:b w:val="false"/>
          <w:color w:val="000000"/>
          <w:sz w:val="24"/>
        </w:rPr>
        <w:t>means an “officer” of the Company, as defined pursuant to Rule 16a-1(f) under the 1934 Act.</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2.64. </w:t>
      </w:r>
      <w:r>
        <w:rPr>
          <w:color w:val="000000"/>
        </w:rPr>
        <w:t>“</w:t>
      </w:r>
      <w:r>
        <w:rPr>
          <w:rFonts w:ascii="Times New Roman;serif" w:hAnsi="Times New Roman;serif"/>
          <w:b w:val="false"/>
          <w:color w:val="000000"/>
          <w:sz w:val="24"/>
          <w:u w:val="single"/>
        </w:rPr>
        <w:t>Section 409A</w:t>
      </w:r>
      <w:r>
        <w:rPr>
          <w:color w:val="000000"/>
        </w:rPr>
        <w:t xml:space="preserve">” </w:t>
      </w:r>
      <w:r>
        <w:rPr>
          <w:rFonts w:ascii="Times New Roman;serif" w:hAnsi="Times New Roman;serif"/>
          <w:b w:val="false"/>
          <w:color w:val="000000"/>
          <w:sz w:val="24"/>
        </w:rPr>
        <w:t>means section 409A of the Internal Revenue Code of 1986, as amended, as interpreted by the various Notices, Announcements, Proposed Regulations and Final Regulations thereunder.</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2.65. </w:t>
      </w:r>
      <w:r>
        <w:rPr>
          <w:color w:val="000000"/>
        </w:rPr>
        <w:t>“</w:t>
      </w:r>
      <w:r>
        <w:rPr>
          <w:rFonts w:ascii="Times New Roman;serif" w:hAnsi="Times New Roman;serif"/>
          <w:b w:val="false"/>
          <w:color w:val="000000"/>
          <w:sz w:val="24"/>
          <w:u w:val="single"/>
        </w:rPr>
        <w:t>Severance Pay</w:t>
      </w:r>
      <w:r>
        <w:rPr>
          <w:color w:val="000000"/>
        </w:rPr>
        <w:t xml:space="preserve">” </w:t>
      </w:r>
      <w:r>
        <w:rPr>
          <w:rFonts w:ascii="Times New Roman;serif" w:hAnsi="Times New Roman;serif"/>
          <w:b w:val="false"/>
          <w:color w:val="000000"/>
          <w:sz w:val="24"/>
        </w:rPr>
        <w:t>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2.66. </w:t>
      </w:r>
      <w:r>
        <w:rPr>
          <w:color w:val="000000"/>
        </w:rPr>
        <w:t>“</w:t>
      </w:r>
      <w:r>
        <w:rPr>
          <w:rFonts w:ascii="Times New Roman;serif" w:hAnsi="Times New Roman;serif"/>
          <w:b w:val="false"/>
          <w:color w:val="000000"/>
          <w:sz w:val="24"/>
          <w:u w:val="single"/>
        </w:rPr>
        <w:t>Share</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Shares</w:t>
      </w:r>
      <w:r>
        <w:rPr>
          <w:color w:val="000000"/>
        </w:rPr>
        <w:t xml:space="preserve">” </w:t>
      </w:r>
      <w:r>
        <w:rPr>
          <w:rFonts w:ascii="Times New Roman;serif" w:hAnsi="Times New Roman;serif"/>
          <w:b w:val="false"/>
          <w:color w:val="000000"/>
          <w:sz w:val="24"/>
        </w:rPr>
        <w:t>means a share or shares of Class A Common Stock, par value $0.01, of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2.67. </w:t>
      </w:r>
      <w:r>
        <w:rPr>
          <w:color w:val="000000"/>
        </w:rPr>
        <w:t>“</w:t>
      </w:r>
      <w:r>
        <w:rPr>
          <w:rFonts w:ascii="Times New Roman;serif" w:hAnsi="Times New Roman;serif"/>
          <w:b w:val="false"/>
          <w:color w:val="000000"/>
          <w:sz w:val="24"/>
          <w:u w:val="single"/>
        </w:rPr>
        <w:t>Signing Bonus</w:t>
      </w:r>
      <w:r>
        <w:rPr>
          <w:color w:val="000000"/>
        </w:rPr>
        <w:t xml:space="preserve">” </w:t>
      </w:r>
      <w:r>
        <w:rPr>
          <w:rFonts w:ascii="Times New Roman;serif" w:hAnsi="Times New Roman;serif"/>
          <w:b w:val="false"/>
          <w:color w:val="000000"/>
          <w:sz w:val="24"/>
        </w:rPr>
        <w:t>means Compensation payable in cash and designated by the Administrator as a special bonus intended to induce an individual to accept initial employment (or re-employment) by a Participating Company or to execute an employment agreement, or an amount payable in connection with a promotion.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2.68. </w:t>
      </w:r>
      <w:r>
        <w:rPr>
          <w:color w:val="000000"/>
        </w:rPr>
        <w:t>“</w:t>
      </w:r>
      <w:r>
        <w:rPr>
          <w:rFonts w:ascii="Times New Roman;serif" w:hAnsi="Times New Roman;serif"/>
          <w:b w:val="false"/>
          <w:color w:val="000000"/>
          <w:sz w:val="24"/>
          <w:u w:val="single"/>
        </w:rPr>
        <w:t>Subsequent Deferral Election</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2160"/>
        <w:jc w:val="left"/>
        <w:rPr/>
      </w:pPr>
      <w:r>
        <w:rPr>
          <w:rFonts w:ascii="Times New Roman;serif" w:hAnsi="Times New Roman;serif"/>
          <w:b w:val="false"/>
          <w:color w:val="000000"/>
          <w:sz w:val="24"/>
        </w:rPr>
        <w:t>2.68.1.</w:t>
      </w:r>
      <w:r>
        <w:rPr>
          <w:rFonts w:ascii="Times New Roman;serif" w:hAnsi="Times New Roman;serif"/>
          <w:b w:val="false"/>
          <w:color w:val="000000"/>
          <w:sz w:val="24"/>
        </w:rPr>
        <w:t>With respect to Compensation, a written election on a form provided by the Administrator, filed with the Administrator in accordance with Article 3, pursuant to which a Participant elects to defer the time of payment of amounts previously deferred in accordance with the terms of a previously filed Initial Deferral Election, Regular Deferral Election, or Subsequent Deferral Election.</w:t>
      </w:r>
    </w:p>
    <w:p>
      <w:pPr>
        <w:pStyle w:val="TextBody"/>
        <w:bidi w:val="0"/>
        <w:spacing w:lineRule="auto" w:line="240" w:before="0" w:after="240"/>
        <w:ind w:left="0" w:right="0" w:firstLine="2160"/>
        <w:jc w:val="left"/>
        <w:rPr/>
      </w:pPr>
      <w:r>
        <w:rPr>
          <w:rFonts w:ascii="Times New Roman;serif" w:hAnsi="Times New Roman;serif"/>
          <w:b w:val="false"/>
          <w:color w:val="000000"/>
          <w:sz w:val="24"/>
        </w:rPr>
        <w:t>2.68.2.</w:t>
      </w:r>
      <w:r>
        <w:rPr>
          <w:rFonts w:ascii="Times New Roman;serif" w:hAnsi="Times New Roman;serif"/>
          <w:b w:val="false"/>
          <w:color w:val="000000"/>
          <w:sz w:val="24"/>
        </w:rPr>
        <w:t>With respect to Deferred Stock Units, a written election on a form provided by the Administrator, filed with the Administrator in accordance with Article 3, pursuant to which a Participant (i) elects to further defer the distribution date of Shares issuable with respect to Deferred Stock Units and (ii) designates the distribution date of such Shares.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2.69. </w:t>
      </w:r>
      <w:r>
        <w:rPr>
          <w:color w:val="000000"/>
        </w:rPr>
        <w:t>“</w:t>
      </w:r>
      <w:r>
        <w:rPr>
          <w:rFonts w:ascii="Times New Roman;serif" w:hAnsi="Times New Roman;serif"/>
          <w:b w:val="false"/>
          <w:color w:val="000000"/>
          <w:sz w:val="24"/>
          <w:u w:val="single"/>
        </w:rPr>
        <w:t>Surviving Spouse</w:t>
      </w:r>
      <w:r>
        <w:rPr>
          <w:color w:val="000000"/>
        </w:rPr>
        <w:t xml:space="preserve">” </w:t>
      </w:r>
      <w:r>
        <w:rPr>
          <w:rFonts w:ascii="Times New Roman;serif" w:hAnsi="Times New Roman;serif"/>
          <w:b w:val="false"/>
          <w:color w:val="000000"/>
          <w:sz w:val="24"/>
        </w:rPr>
        <w:t>means the widow or widower, as the case may be, of a Deceased Participant or a Deceased Beneficiary (as applicable).</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2.70. </w:t>
      </w:r>
      <w:r>
        <w:rPr>
          <w:rFonts w:ascii="Times New Roman;serif" w:hAnsi="Times New Roman;serif"/>
          <w:b w:val="false"/>
          <w:color w:val="000000"/>
          <w:sz w:val="24"/>
          <w:u w:val="single"/>
        </w:rPr>
        <w:t>Termination of Employment</w:t>
      </w:r>
      <w:r>
        <w:rPr>
          <w:rFonts w:ascii="Times New Roman;serif" w:hAnsi="Times New Roman;serif"/>
          <w:b w:val="false"/>
          <w:color w:val="000000"/>
          <w:sz w:val="24"/>
        </w:rPr>
        <w:t xml:space="preserve">. For purposes of the Plan, a transfer of an employee between two employers, each of which is the Company or an Affiliate, shall not be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70890"/>
                <wp:effectExtent l="0" t="0" r="0" b="0"/>
                <wp:wrapNone/>
                <wp:docPr id="82" name="Frame81"/>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left"/>
        <w:rPr/>
      </w:pPr>
      <w:r>
        <w:rPr>
          <w:rFonts w:ascii="Times New Roman;serif" w:hAnsi="Times New Roman;serif"/>
          <w:b w:val="false"/>
          <w:color w:val="000000"/>
          <w:sz w:val="24"/>
        </w:rPr>
        <w:t xml:space="preserve">deemed a “termination of employment.” A Participant who is a Non-Employee Director shall be treated as having terminated employment on the Participant’s termination of service as a Non-Employee Director;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such a Participant is designated as a Director Emeritus upon termination of service as a Non-Employee Director, such Participant shall not be treated as having terminated employment until the Participant’s termination of service as a Director Emeritus.</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2.71. </w:t>
      </w:r>
      <w:r>
        <w:rPr>
          <w:color w:val="000000"/>
        </w:rPr>
        <w:t>“</w:t>
      </w:r>
      <w:r>
        <w:rPr>
          <w:rFonts w:ascii="Times New Roman;serif" w:hAnsi="Times New Roman;serif"/>
          <w:b w:val="false"/>
          <w:color w:val="000000"/>
          <w:sz w:val="24"/>
          <w:u w:val="single"/>
        </w:rPr>
        <w:t>Third Party</w:t>
      </w:r>
      <w:r>
        <w:rPr>
          <w:color w:val="000000"/>
        </w:rPr>
        <w:t xml:space="preserve">” </w:t>
      </w:r>
      <w:r>
        <w:rPr>
          <w:rFonts w:ascii="Times New Roman;serif" w:hAnsi="Times New Roman;serif"/>
          <w:b w:val="false"/>
          <w:color w:val="000000"/>
          <w:sz w:val="24"/>
        </w:rPr>
        <w:t xml:space="preserve">means any Person, together with such Person’s Affiliates;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term “Third Party” shall not include the Company or an Affiliate of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2.72. </w:t>
      </w:r>
      <w:r>
        <w:rPr>
          <w:color w:val="000000"/>
        </w:rPr>
        <w:t>“</w:t>
      </w:r>
      <w:r>
        <w:rPr>
          <w:rFonts w:ascii="Times New Roman;serif" w:hAnsi="Times New Roman;serif"/>
          <w:b w:val="false"/>
          <w:color w:val="000000"/>
          <w:sz w:val="24"/>
          <w:u w:val="single"/>
        </w:rPr>
        <w:t>Total Compensation</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2160"/>
        <w:jc w:val="left"/>
        <w:rPr/>
      </w:pPr>
      <w:r>
        <w:rPr>
          <w:rFonts w:ascii="Times New Roman;serif" w:hAnsi="Times New Roman;serif"/>
          <w:b w:val="false"/>
          <w:color w:val="000000"/>
          <w:sz w:val="24"/>
        </w:rPr>
        <w:t>2.72.1.</w:t>
      </w:r>
      <w:r>
        <w:rPr>
          <w:rFonts w:ascii="Times New Roman;serif" w:hAnsi="Times New Roman;serif"/>
          <w:b w:val="false"/>
          <w:color w:val="000000"/>
          <w:sz w:val="24"/>
        </w:rPr>
        <w:t xml:space="preserve">The sum of an Eligible Employee’s Annual Rate of Pay,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any target bonus amount under an annual cash bonus award that is includible as “Compensation” under Section 2.19 (for the avoidance of doubt, excluding any Signing Bonus),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the grant date value of any annual long-term incentive award granted in the immediately preceding Plan Year, all as determined by the Administrator in its sole discretion, as of the September 30th immediately preceding the Plan Year. </w:t>
      </w:r>
    </w:p>
    <w:p>
      <w:pPr>
        <w:pStyle w:val="TextBody"/>
        <w:bidi w:val="0"/>
        <w:spacing w:lineRule="auto" w:line="240" w:before="0" w:after="240"/>
        <w:ind w:left="0" w:right="0" w:firstLine="2160"/>
        <w:jc w:val="left"/>
        <w:rPr/>
      </w:pPr>
      <w:r>
        <w:rPr>
          <w:rFonts w:ascii="Times New Roman;serif" w:hAnsi="Times New Roman;serif"/>
          <w:b w:val="false"/>
          <w:color w:val="000000"/>
          <w:sz w:val="24"/>
        </w:rPr>
        <w:t>2.72.2.</w:t>
      </w:r>
      <w:r>
        <w:rPr>
          <w:rFonts w:ascii="Times New Roman;serif" w:hAnsi="Times New Roman;serif"/>
          <w:b w:val="false"/>
          <w:color w:val="000000"/>
          <w:sz w:val="24"/>
        </w:rPr>
        <w:t>For the purpose of determining Total Compensation under the Plan, the Administrator, in its sole discretion, may determine the applicable value of an Eligible Employee’s annual long-term incentive award in appropriate circumstances, such as where the Eligible Employee’s actual annual long-term incentive award (if any) reflects a new hire’s short period of service, or other similar circumstances.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2.73. </w:t>
      </w:r>
      <w:r>
        <w:rPr>
          <w:color w:val="000000"/>
        </w:rPr>
        <w:t>“</w:t>
      </w:r>
      <w:r>
        <w:rPr>
          <w:rFonts w:ascii="Times New Roman;serif" w:hAnsi="Times New Roman;serif"/>
          <w:b w:val="false"/>
          <w:color w:val="000000"/>
          <w:sz w:val="24"/>
          <w:u w:val="single"/>
        </w:rPr>
        <w:t>Vesting Date</w:t>
      </w:r>
      <w:r>
        <w:rPr>
          <w:color w:val="000000"/>
        </w:rPr>
        <w:t xml:space="preserve">” </w:t>
      </w:r>
      <w:r>
        <w:rPr>
          <w:rFonts w:ascii="Times New Roman;serif" w:hAnsi="Times New Roman;serif"/>
          <w:b w:val="false"/>
          <w:color w:val="000000"/>
          <w:sz w:val="24"/>
        </w:rPr>
        <w:t>means the date on which the Participant vests in a Restricted Stock Unit.</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2.74. </w:t>
      </w:r>
      <w:r>
        <w:rPr>
          <w:color w:val="000000"/>
        </w:rPr>
        <w:t>“</w:t>
      </w:r>
      <w:r>
        <w:rPr>
          <w:rFonts w:ascii="Times New Roman;serif" w:hAnsi="Times New Roman;serif"/>
          <w:b w:val="false"/>
          <w:color w:val="000000"/>
          <w:sz w:val="24"/>
          <w:u w:val="single"/>
        </w:rPr>
        <w:t>2027 DC Plan</w:t>
      </w:r>
      <w:r>
        <w:rPr>
          <w:color w:val="000000"/>
        </w:rPr>
        <w:t xml:space="preserve">” </w:t>
      </w:r>
      <w:r>
        <w:rPr>
          <w:rFonts w:ascii="Times New Roman;serif" w:hAnsi="Times New Roman;serif"/>
          <w:b w:val="false"/>
          <w:color w:val="000000"/>
          <w:sz w:val="24"/>
        </w:rPr>
        <w:t>means the Comcast Corporation 2027 Deferred Compensation Plan, as may be amended or amended and restated from time to time.</w:t>
      </w:r>
    </w:p>
    <w:p>
      <w:pPr>
        <w:pStyle w:val="TextBody"/>
        <w:bidi w:val="0"/>
        <w:spacing w:lineRule="auto" w:line="240" w:before="0" w:after="240"/>
        <w:jc w:val="center"/>
        <w:rPr/>
      </w:pPr>
      <w:r>
        <w:rPr>
          <w:rFonts w:ascii="Times New Roman;serif" w:hAnsi="Times New Roman;serif"/>
          <w:b/>
          <w:color w:val="000000"/>
          <w:sz w:val="24"/>
        </w:rPr>
        <w:t>ARTICLE 3</w:t>
      </w:r>
      <w:r>
        <w:rPr>
          <w:color w:val="000000"/>
        </w:rPr>
        <w:t xml:space="preserve"> – </w:t>
      </w:r>
      <w:r>
        <w:rPr>
          <w:rFonts w:ascii="Times New Roman;serif" w:hAnsi="Times New Roman;serif"/>
          <w:b w:val="false"/>
          <w:color w:val="000000"/>
          <w:sz w:val="24"/>
        </w:rPr>
        <w:t>INITIAL, REGULAR AND SUBSEQUENT DEFERRAL ELECTIONS</w:t>
      </w:r>
    </w:p>
    <w:p>
      <w:pPr>
        <w:pStyle w:val="TextBody"/>
        <w:bidi w:val="0"/>
        <w:spacing w:lineRule="auto" w:line="288" w:before="0" w:after="0"/>
        <w:jc w:val="left"/>
        <w:rPr/>
      </w:pPr>
      <w:r>
        <w:rPr>
          <w:rFonts w:ascii="Times New Roman;serif" w:hAnsi="Times New Roman;serif"/>
          <w:b w:val="false"/>
          <w:color w:val="000000"/>
          <w:sz w:val="24"/>
          <w:u w:val="single"/>
        </w:rPr>
        <w:t>Part A: Deferrals of Compensation</w:t>
      </w:r>
      <w:r>
        <w:rPr>
          <w:rFonts w:ascii="Times New Roman;serif" w:hAnsi="Times New Roman;serif"/>
          <w:b w:val="false"/>
          <w:color w:val="000000"/>
          <w:sz w:val="24"/>
        </w:rPr>
        <w:t xml:space="preserve">. Sections 3.1 through 3.5 shall apply to the deferral of Compensation. Only Compensation earned or granted on or prior to December 31, 2026 shall be eligible for deferral under this Plan. For the avoidance of doubt, any annual bonus earned with respect to fiscal year 2026 shall be eligible for deferral under this Plan, regardless of when such bonus is paid. </w:t>
      </w:r>
    </w:p>
    <w:p>
      <w:pPr>
        <w:pStyle w:val="TextBody"/>
        <w:bidi w:val="0"/>
        <w:spacing w:before="0" w:after="0"/>
        <w:jc w:val="left"/>
        <w:rPr/>
      </w:pPr>
      <w:r>
        <w:rPr/>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3.1. </w:t>
      </w:r>
      <w:r>
        <w:rPr>
          <w:rFonts w:ascii="Times New Roman;serif" w:hAnsi="Times New Roman;serif"/>
          <w:b w:val="false"/>
          <w:color w:val="000000"/>
          <w:sz w:val="24"/>
          <w:u w:val="single"/>
        </w:rPr>
        <w:t>Elections</w:t>
      </w:r>
      <w:r>
        <w:rPr>
          <w:rFonts w:ascii="Times New Roman;serif" w:hAnsi="Times New Roman;serif"/>
          <w:b w:val="false"/>
          <w:color w:val="000000"/>
          <w:sz w:val="24"/>
        </w:rPr>
        <w:t>.</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Initial Deferral Elections</w:t>
      </w:r>
      <w:r>
        <w:rPr>
          <w:rFonts w:ascii="Times New Roman;serif" w:hAnsi="Times New Roman;serif"/>
          <w:b w:val="false"/>
          <w:color w:val="000000"/>
          <w:sz w:val="24"/>
        </w:rPr>
        <w:t xml:space="preserve">. Subject to any applicable limitations or restrictions on Initial Deferral Elections, each Non-Employee Director, Director Emeritus and Eligible Employee who is an Active Participant shall have the right to defer Compensation by filing an Initial Deferral Election with respect to Compensation that he would otherwise be entitled to receive for a calendar year or other Performance Period at the time and in the manner described in this Article 3. Notwithstanding the foregoing, an individual who is expected to become a New Key Employee on a specific date shall be treated as an “Eligible Employee” and “Active Participant” for purposes of this Section 3.1(a) and may file an Initial Deferral Election before the date on which such individual becomes a New Key Employee. The Compensation of such Non-Employee Director, Director Emeritus or Eligible Employee for a calendar year or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70890"/>
                <wp:effectExtent l="0" t="0" r="0" b="0"/>
                <wp:wrapNone/>
                <wp:docPr id="83" name="Frame82"/>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other Performance Period shall be reduced in an amount equal to the portion of the Compensation deferred by such Non-Employee Director, Director Emeritus or Eligible Employee for such period of time pursuant to such Non-Employee Director’s, Director Emeritus’s or Eligible Employee’s Initial Deferral Election. Such reduction shall be effected on a pro rata basis from each periodic installment payment of such Non-Employee Director’s, Director Emeritus’s or Eligible Employee’s Compensation for such period of time (in accordance with the general pay practices of the Participating Company), and credited, as a bookkeeping entry, to such Non-Employee Director’s, Director Emeritus’s or Eligible Employee’s Account in accordance with Section 5.1. Amounts credited to the Accounts of Non-Employee Directors in the form of Company Stock shall be credited to the Company Stock Fund and credited with income, gains and losses in accordance with Section 5.2(c).</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Regular Deferral Elections</w:t>
      </w:r>
      <w:r>
        <w:rPr>
          <w:rFonts w:ascii="Times New Roman;serif" w:hAnsi="Times New Roman;serif"/>
          <w:b w:val="false"/>
          <w:color w:val="000000"/>
          <w:sz w:val="24"/>
        </w:rPr>
        <w:t>. Subject to any applicable limitations or restrictions on Regular Deferral Elections as may be established by the Administrator from time to time, each Eligible Employee (including a New Key Employee) shall have the right to elect to defer a Signing Bonus by filing a Regular Deferral Election. The Signing Bonus of such Eligible Employee shall be reduced in an amount equal to the portion of the Signing Bonus deferred by such Eligible Employee for such period of time pursuant to such Eligible Employee’s Regular Deferral Election. Such reduction shall be credited as a bookkeeping entry to such Eligible Employee’s Account in accordance with Section 5.1.</w:t>
      </w:r>
    </w:p>
    <w:p>
      <w:pPr>
        <w:pStyle w:val="TextBody"/>
        <w:bidi w:val="0"/>
        <w:spacing w:lineRule="auto" w:line="240" w:before="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Subsequent Deferral Elections</w:t>
      </w:r>
      <w:r>
        <w:rPr>
          <w:rFonts w:ascii="Times New Roman;serif" w:hAnsi="Times New Roman;serif"/>
          <w:b w:val="false"/>
          <w:color w:val="000000"/>
          <w:sz w:val="24"/>
        </w:rPr>
        <w:t>. Each Participant shall have the right to elect to defer the time of payment or to change the manner of payment of amounts previously deferred in accordance with the terms of a previously made Initial Deferral Election pursuant to the terms of the Plan, and subject to any applicable limitations or restrictions as may be established by the Administrator from time to time, by filing a Subsequent Deferral Election at the time, to the extent, and in the manner described in this Article 3.</w:t>
      </w:r>
    </w:p>
    <w:p>
      <w:pPr>
        <w:pStyle w:val="TextBody"/>
        <w:bidi w:val="0"/>
        <w:spacing w:lineRule="auto" w:line="240" w:before="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Deferral Period</w:t>
      </w:r>
      <w:r>
        <w:rPr>
          <w:rFonts w:ascii="Times New Roman;serif" w:hAnsi="Times New Roman;serif"/>
          <w:b w:val="false"/>
          <w:color w:val="000000"/>
          <w:sz w:val="24"/>
        </w:rPr>
        <w:t xml:space="preserve">. A Participant may elect a distribution to commence on (x) the date specified pursuant to, as applicable, an Initial Deferral Election, a Regular Deferral Election, or a Subsequent Deferral Election and the Participant’s “separation from service” (within the meaning of Section 409A) in accordance with Section 3.5 or (y) if earlier, the Participant’s death. For the avoidance of doubt and in accordance with Section 409A, for purposes of this Plan, a spin-off of the Participant’s employer entity by the Company, by itself, shall not be deemed to result in a “separation from service” for purposes of the Plan;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Participant continues employment with such employer entity immediately after such spin-off transaction.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3.2. </w:t>
      </w:r>
      <w:r>
        <w:rPr>
          <w:rFonts w:ascii="Times New Roman;serif" w:hAnsi="Times New Roman;serif"/>
          <w:b w:val="false"/>
          <w:color w:val="000000"/>
          <w:sz w:val="24"/>
          <w:u w:val="single"/>
        </w:rPr>
        <w:t>Filing of Initial Deferral Election: General</w:t>
      </w:r>
      <w:r>
        <w:rPr>
          <w:rFonts w:ascii="Times New Roman;serif" w:hAnsi="Times New Roman;serif"/>
          <w:b w:val="false"/>
          <w:color w:val="000000"/>
          <w:sz w:val="24"/>
        </w:rPr>
        <w:t>. An Initial Deferral Election shall be filed on the form provided by the Administrator for this purpose. Except as provided in Section 3.3:</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 xml:space="preserve">No such Initial Deferral Election shall be effective with respect to Compensation other than Signing Bonuses or Performance-Based Compensation unless it is filed with the Administrator on or before December 31 of the calendar year preceding the calendar year to which the Initial Deferral Election applies. </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 xml:space="preserve">No such Initial Deferral Election shall be effective with respect to Performance-Based Compensation unless it is filed with the Administrator at least six months before the end of the Performance Period during which such Performance-Based Compensation may be earned.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70890"/>
                <wp:effectExtent l="0" t="0" r="0" b="0"/>
                <wp:wrapNone/>
                <wp:docPr id="84" name="Frame83"/>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2160"/>
        <w:jc w:val="left"/>
        <w:rPr/>
      </w:pPr>
      <w:r>
        <w:rPr>
          <w:rFonts w:ascii="Times New Roman;serif" w:hAnsi="Times New Roman;serif"/>
          <w:b w:val="false"/>
          <w:color w:val="000000"/>
          <w:sz w:val="24"/>
        </w:rPr>
        <w:t>(c)</w:t>
      </w:r>
      <w:r>
        <w:rPr>
          <w:color w:val="000000"/>
        </w:rPr>
        <w:t xml:space="preserve">     </w:t>
      </w:r>
      <w:r>
        <w:rPr>
          <w:rFonts w:ascii="Times New Roman;serif" w:hAnsi="Times New Roman;serif"/>
          <w:b w:val="false"/>
          <w:color w:val="000000"/>
          <w:sz w:val="24"/>
        </w:rPr>
        <w:t>No such Initial Deferral Election shall be effective with respect to a Signing Bonus for an Eligible Employee other than a New Key Employee.</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3.3. </w:t>
      </w:r>
      <w:r>
        <w:rPr>
          <w:rFonts w:ascii="Times New Roman;serif" w:hAnsi="Times New Roman;serif"/>
          <w:b w:val="false"/>
          <w:color w:val="000000"/>
          <w:sz w:val="24"/>
          <w:u w:val="single"/>
        </w:rPr>
        <w:t>Filing of Initial Deferral Election by New Key Employees and New Non-Employee Directors</w:t>
      </w:r>
      <w:r>
        <w:rPr>
          <w:rFonts w:ascii="Times New Roman;serif" w:hAnsi="Times New Roman;serif"/>
          <w:b w:val="false"/>
          <w:color w:val="000000"/>
          <w:sz w:val="24"/>
        </w:rPr>
        <w:t>.</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New Key Employees</w:t>
      </w:r>
      <w:r>
        <w:rPr>
          <w:rFonts w:ascii="Times New Roman;serif" w:hAnsi="Times New Roman;serif"/>
          <w:b w:val="false"/>
          <w:color w:val="000000"/>
          <w:sz w:val="24"/>
        </w:rPr>
        <w:t>. Notwithstanding Section 3.1 and Section 3.2, a New Key Employee may file an Initial Deferral Election:</w:t>
      </w:r>
    </w:p>
    <w:p>
      <w:pPr>
        <w:pStyle w:val="TextBody"/>
        <w:bidi w:val="0"/>
        <w:spacing w:lineRule="auto" w:line="240" w:before="0" w:after="240"/>
        <w:ind w:left="0" w:right="0" w:firstLine="2880"/>
        <w:jc w:val="left"/>
        <w:rPr/>
      </w:pPr>
      <w:r>
        <w:rPr>
          <w:rFonts w:ascii="Times New Roman;serif" w:hAnsi="Times New Roman;serif"/>
          <w:b w:val="false"/>
          <w:color w:val="000000"/>
          <w:sz w:val="24"/>
        </w:rPr>
        <w:t>(i)</w:t>
      </w:r>
      <w:r>
        <w:rPr>
          <w:rFonts w:ascii="Times New Roman;serif" w:hAnsi="Times New Roman;serif"/>
          <w:b w:val="false"/>
          <w:color w:val="000000"/>
          <w:sz w:val="24"/>
        </w:rPr>
        <w:t xml:space="preserve">to defer Compensation payable for services to be performed after the date of such Initial Deferral Election;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such must be filed with the Administrator within 30 days of the date such New Key Employee first becomes eligible to participate in the Plan; or </w:t>
      </w:r>
    </w:p>
    <w:p>
      <w:pPr>
        <w:pStyle w:val="TextBody"/>
        <w:bidi w:val="0"/>
        <w:spacing w:lineRule="auto" w:line="240" w:before="0" w:after="240"/>
        <w:ind w:left="0" w:right="0" w:firstLine="2880"/>
        <w:jc w:val="left"/>
        <w:rPr/>
      </w:pPr>
      <w:r>
        <w:rPr>
          <w:rFonts w:ascii="Times New Roman;serif" w:hAnsi="Times New Roman;serif"/>
          <w:b w:val="false"/>
          <w:color w:val="000000"/>
          <w:sz w:val="24"/>
        </w:rPr>
        <w:t>(ii)</w:t>
      </w:r>
      <w:r>
        <w:rPr>
          <w:rFonts w:ascii="Times New Roman;serif" w:hAnsi="Times New Roman;serif"/>
          <w:b w:val="false"/>
          <w:color w:val="000000"/>
          <w:sz w:val="24"/>
        </w:rPr>
        <w:t xml:space="preserve">to defer Compensation payable as a Signing Bonus;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Initial Deferral Election must be filed with the Administrator before such New Key Employee commences service as an Eligible Employee.</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An Initial Deferral Election by such New Key Employee for succeeding calendar years or applicable Performance Periods shall be made in accordance with Section 3.1 and Section 3.2.</w:t>
      </w:r>
    </w:p>
    <w:p>
      <w:pPr>
        <w:pStyle w:val="TextBody"/>
        <w:bidi w:val="0"/>
        <w:spacing w:before="0" w:after="0"/>
        <w:jc w:val="left"/>
        <w:rPr/>
      </w:pPr>
      <w:r>
        <w:rPr/>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New Non-Employee Directors</w:t>
      </w:r>
      <w:r>
        <w:rPr>
          <w:rFonts w:ascii="Times New Roman;serif" w:hAnsi="Times New Roman;serif"/>
          <w:b w:val="false"/>
          <w:color w:val="000000"/>
          <w:sz w:val="24"/>
        </w:rPr>
        <w:t>. Notwithstanding Section 3.1 and Section 3.2, and except as otherwise provided in Section 2.44.4, a Non-Employee Director may elect to defer Compensation by filing an Initial Deferral Election with respect to his Compensation attributable to services provided as a Non-Employee Director in the calendar year in which a Non-Employee Director’s election as a member of the Board becomes effective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Non-Employee Director is not a member of the Board immediately preceding such effective date), beginning with Compensation earned following the filing of such Initial Deferral Election with the Administrator and before the close of such calendar year. Such Initial Deferral Election must be filed with the Administrator within 30 days of the effective date of such Non-Employee Director’s election. Any Initial Deferral Election by such Non-Employee Director for succeeding calendar years shall be made in accordance with Section 3.1 and Section 3.2.</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3.4. </w:t>
      </w:r>
      <w:r>
        <w:rPr>
          <w:rFonts w:ascii="Times New Roman;serif" w:hAnsi="Times New Roman;serif"/>
          <w:b w:val="false"/>
          <w:color w:val="000000"/>
          <w:sz w:val="24"/>
          <w:u w:val="single"/>
        </w:rPr>
        <w:t>Years to Which Initial Deferral Election and Regular Deferral Election May Apply</w:t>
      </w:r>
      <w:r>
        <w:rPr>
          <w:rFonts w:ascii="Times New Roman;serif" w:hAnsi="Times New Roman;serif"/>
          <w:b w:val="false"/>
          <w:color w:val="000000"/>
          <w:sz w:val="24"/>
        </w:rPr>
        <w:t xml:space="preserve">. </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u w:val="single"/>
        </w:rPr>
        <w:t>Separate Initial Deferral Elections for Each Calendar Year or Applicable Performance Period</w:t>
      </w:r>
      <w:r>
        <w:rPr>
          <w:rFonts w:ascii="Times New Roman;serif" w:hAnsi="Times New Roman;serif"/>
          <w:b w:val="false"/>
          <w:color w:val="000000"/>
          <w:sz w:val="24"/>
        </w:rPr>
        <w:t>. A separate Initial Deferral Election may be filed for each calendar year or other applicable Performance Period as to which a Non-Employee Director, Director Emeritus or Eligible Employee desires to defer such Non-Employee Director’s, Director Emeritus’s or Eligible Employee’s Compensation. The failure of a Non-Employee Director, Director Emeritus or Eligible Employee to make an Initial Deferral Election for any calendar year or other applicable Performance Period shall not affect such Non-Employee Director’s or Eligible Employee’s right to make an Initial Deferral Election for any other calendar year or other applicable Performance Period.</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Initial Deferral Election of Distribution Date</w:t>
      </w:r>
      <w:r>
        <w:rPr>
          <w:rFonts w:ascii="Times New Roman;serif" w:hAnsi="Times New Roman;serif"/>
          <w:b w:val="false"/>
          <w:color w:val="000000"/>
          <w:sz w:val="24"/>
        </w:rPr>
        <w:t xml:space="preserve">. Each Non-Employee Director, Director Emeritus or Eligible Employee shall, contemporaneously with an Initial Deferral Election, also elect the time of payment of the amount of the Compensation to which such Initial Deferral Election relates;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except as otherwise specifically provided by the Plan, no distribution may commence earlier than January 2nd of the second calendar year beginning after the date the compensation subject to the Initial Deferral Election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70890"/>
                <wp:effectExtent l="0" t="0" r="0" b="0"/>
                <wp:wrapNone/>
                <wp:docPr id="85" name="Frame84"/>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was earned or would be paid but for the Initial Deferral Election, nor later than January 2nd of the fifth calendar year beginning after the date the compensation subject to the Initial Deferral Election was earned or would be paid but for the Initial Deferral Election. Further, each Non-Employee Director, Director Emeritus or Eligible Employee may select with each Initial Deferral Election the manner of distribution in accordance with Article 4.</w:t>
      </w:r>
    </w:p>
    <w:p>
      <w:pPr>
        <w:pStyle w:val="TextBody"/>
        <w:bidi w:val="0"/>
        <w:spacing w:lineRule="auto" w:line="240" w:before="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Regular Deferral Election of Distribution Date</w:t>
      </w:r>
      <w:r>
        <w:rPr>
          <w:rFonts w:ascii="Times New Roman;serif" w:hAnsi="Times New Roman;serif"/>
          <w:b w:val="false"/>
          <w:color w:val="000000"/>
          <w:sz w:val="24"/>
        </w:rPr>
        <w:t>. Except as otherwise provided in the Plan, any distribution pursuant to a Regular Deferral Election will be made on the fifth anniversary of the Vesting Date. Further, an Eligible Employee may select with each Regular Deferral Election the manner of distribution in accordance with Article 4.</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3.5. </w:t>
      </w:r>
      <w:r>
        <w:rPr>
          <w:rFonts w:ascii="Times New Roman;serif" w:hAnsi="Times New Roman;serif"/>
          <w:b w:val="false"/>
          <w:color w:val="000000"/>
          <w:sz w:val="24"/>
          <w:u w:val="single"/>
        </w:rPr>
        <w:t>Subsequent Deferral Elections</w:t>
      </w:r>
      <w:r>
        <w:rPr>
          <w:rFonts w:ascii="Times New Roman;serif" w:hAnsi="Times New Roman;serif"/>
          <w:b w:val="false"/>
          <w:color w:val="000000"/>
          <w:sz w:val="24"/>
        </w:rPr>
        <w:t xml:space="preserve">. No Subsequent Deferral Election shall be effective until 12 months after the date on which such Subsequent Deferral Election is filed. </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u w:val="single"/>
        </w:rPr>
        <w:t>Active Participants, Non-Employee Directors, and Section 16 Officers</w:t>
      </w:r>
      <w:r>
        <w:rPr>
          <w:rFonts w:ascii="Times New Roman;serif" w:hAnsi="Times New Roman;serif"/>
          <w:b w:val="false"/>
          <w:color w:val="000000"/>
          <w:sz w:val="24"/>
        </w:rPr>
        <w:t xml:space="preserve">. Each (i) Active Participant, (ii) except as otherwise determined by the Administrator, Participant who is actively employed by a Participating Company who is not an Active Participant, and (iii) Participant designated by the Administrator who has served as a Non-Employee Director or Section 16 Officer at any time on or after January 1, 2019 (whether or not such individual is an Active Participant), in each case, who has filed an Initial Deferral Election or who has filed a Subsequent Deferral Election, may elect to defer the time of payment of any part or all of such Participant’s Account until the later of (i) the fifth anniversary of the previously-elected distribution date or (ii) the Participant’s “separation from service” (within the meaning of Section 409A) that occurs at least five (5) years after the previously-elected distribution date, by filing a Subsequent Deferral Election with the Administrator at least 12 months before the lump-sum distribution or initial installment payment would otherwise be made. A Subsequent Deferral Election with respect to any portion of the Participant’s Account shall be made in accordance with such administrative procedures as established by the Administrator (including any procedures relating to designated window established by the Administrator during an applicable Plan Year or such other times determined by the Administrator as to when Subsequent Deferral Elections shall be made). Notwithstanding anything to the contrary in the Plan or otherwise, the number of Subsequent Deferral Elections under this Section 3.5(a) shall not be limited. The Administrator may designate the specific Other Investment Fund(s) to which the Account of any individual who has terminated service to the Company shall be deemed invested. </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u w:val="single"/>
        </w:rPr>
        <w:t>Inactive Participants</w:t>
      </w:r>
      <w:r>
        <w:rPr>
          <w:rFonts w:ascii="Times New Roman;serif" w:hAnsi="Times New Roman;serif"/>
          <w:b w:val="false"/>
          <w:color w:val="000000"/>
          <w:sz w:val="24"/>
        </w:rPr>
        <w:t>. Except as otherwise provided in Section 3.5(a), the Administrator may, in its sole and absolute discretion, permit an Inactive Participant to make a Subsequent Deferral Election to defer the time of payment of any part or all of such Inactive Participant’s Account for five (5) additional years from the previously-elected payment date, by filing a Subsequent Deferral Election with the Administrator at least 12 months before the lump-sum distribution or initial installment payment would otherwise be made. The number of Subsequent Deferral Elections under this Section 3.5(b) shall be determined by the Administrator in its sole and absolute discretion.</w:t>
      </w:r>
    </w:p>
    <w:p>
      <w:pPr>
        <w:pStyle w:val="TextBody"/>
        <w:bidi w:val="0"/>
        <w:spacing w:lineRule="auto" w:line="240" w:before="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Surviving Spouses – Subsequent Deferral Election</w:t>
      </w:r>
      <w:r>
        <w:rPr>
          <w:rFonts w:ascii="Times New Roman;serif" w:hAnsi="Times New Roman;serif"/>
          <w:b w:val="false"/>
          <w:color w:val="000000"/>
          <w:sz w:val="24"/>
        </w:rPr>
        <w:t>. A Beneficiary of a Deceased Participant who is a Deceased Participant’s Surviving Spouse may elect distribution to commence on the earlier of a date within 60 days following a Participant’s death, or the date otherwise specified pursuant to an Initial Deferral Election, a Regular Deferral Election, or a Subsequent Deferral Election.</w:t>
      </w:r>
    </w:p>
    <w:p>
      <w:pPr>
        <w:pStyle w:val="TextBody"/>
        <w:bidi w:val="0"/>
        <w:spacing w:lineRule="auto" w:line="240" w:before="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Beneficiary of a Deceased Participant Other Than a Surviving Spouse – Subsequent Deferral Election</w:t>
      </w:r>
      <w:r>
        <w:rPr>
          <w:rFonts w:ascii="Times New Roman;serif" w:hAnsi="Times New Roman;serif"/>
          <w:b w:val="false"/>
          <w:color w:val="000000"/>
          <w:sz w:val="24"/>
        </w:rPr>
        <w:t xml:space="preserve">. A Beneficiary of a Deceased Participant other than a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70890"/>
                <wp:effectExtent l="0" t="0" r="0" b="0"/>
                <wp:wrapNone/>
                <wp:docPr id="86" name="Frame85"/>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Surviving Spouse may elect distribution to commence on the earlier of a date within 60 days following a Participant’s death, or the date otherwise specified pursuant to an Initial Deferral Election, a Regular Deferral Election, or a Subsequent Deferral Election.</w:t>
      </w:r>
    </w:p>
    <w:p>
      <w:pPr>
        <w:pStyle w:val="TextBody"/>
        <w:bidi w:val="0"/>
        <w:spacing w:lineRule="auto" w:line="240" w:before="0" w:after="240"/>
        <w:ind w:left="0" w:right="0" w:firstLine="216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Retired Participants and Disabled Participants</w:t>
      </w:r>
      <w:r>
        <w:rPr>
          <w:rFonts w:ascii="Times New Roman;serif" w:hAnsi="Times New Roman;serif"/>
          <w:b w:val="false"/>
          <w:color w:val="000000"/>
          <w:sz w:val="24"/>
        </w:rPr>
        <w:t xml:space="preserve">. The Administrator may, in its sole and absolute discretion, permit a Retired Participant or a Disabled Participant to make a Subsequent Deferral Election to defer the time of payment of any part or all of such Retired or Disabled Participant’s Account that would not otherwise become payable within 12 months of such Subsequent Deferral Election for five (5) additional years from the previously-elected payment date by filing a Subsequent Deferral Election with the Administrator on or before the close of business on the date that is at least 12 months before the date on which the lump-sum distribution or initial installment payment would otherwise be made. The number of Subsequent Deferral Elections under this Section 3.5(e) shall be determined by the Administrator in its sole and absolute discretion. </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For avoidance of doubt, Participants described in Section 3.5(a) who have served as a Non-Employee Director or Section 16 Officer at any time on or after January 1, 2019 may make Subsequent Deferral Elections as provided in Section 3.5(a) without regard to the exercise of the Administrator’s discretion.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Part B: Deferred Stock Units</w:t>
      </w:r>
      <w:r>
        <w:rPr>
          <w:rFonts w:ascii="Times New Roman;serif" w:hAnsi="Times New Roman;serif"/>
          <w:b w:val="false"/>
          <w:color w:val="000000"/>
          <w:sz w:val="24"/>
        </w:rPr>
        <w:t>. Sections 3.6 through 3.11 shall apply to the deferral of Shares and any related dividend equivalents issuable pursuant to Awards. A Participant who is an RSU Deferral Eligible Employee may elect to defer the receipt of Shares and any related dividend equivalents that would otherwise be issuable with respect to Restricted Stock Units as to which the grant date is on or prior to December 31, 2026, consistent, however, with the following:</w:t>
      </w:r>
    </w:p>
    <w:p>
      <w:pPr>
        <w:pStyle w:val="TextBody"/>
        <w:bidi w:val="0"/>
        <w:spacing w:before="0" w:after="0"/>
        <w:jc w:val="left"/>
        <w:rPr/>
      </w:pPr>
      <w:r>
        <w:rPr/>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3.6. </w:t>
      </w:r>
      <w:r>
        <w:rPr>
          <w:rFonts w:ascii="Times New Roman;serif" w:hAnsi="Times New Roman;serif"/>
          <w:b w:val="false"/>
          <w:color w:val="000000"/>
          <w:sz w:val="24"/>
          <w:u w:val="single"/>
        </w:rPr>
        <w:t>Initial Deferral Election and Regular Deferral Election</w:t>
      </w:r>
      <w:r>
        <w:rPr>
          <w:rFonts w:ascii="Times New Roman;serif" w:hAnsi="Times New Roman;serif"/>
          <w:b w:val="false"/>
          <w:color w:val="000000"/>
          <w:sz w:val="24"/>
        </w:rPr>
        <w:t>.</w:t>
      </w:r>
    </w:p>
    <w:p>
      <w:pPr>
        <w:pStyle w:val="TextBody"/>
        <w:bidi w:val="0"/>
        <w:spacing w:lineRule="auto" w:line="240" w:before="0" w:after="240"/>
        <w:ind w:left="0" w:right="0" w:firstLine="2160"/>
        <w:jc w:val="left"/>
        <w:rPr/>
      </w:pPr>
      <w:r>
        <w:rPr>
          <w:rFonts w:ascii="Times New Roman;serif" w:hAnsi="Times New Roman;serif"/>
          <w:b w:val="false"/>
          <w:color w:val="000000"/>
          <w:sz w:val="24"/>
        </w:rPr>
        <w:t>3.6.1.</w:t>
      </w:r>
      <w:r>
        <w:rPr>
          <w:rFonts w:ascii="Times New Roman;serif" w:hAnsi="Times New Roman;serif"/>
          <w:b w:val="false"/>
          <w:color w:val="000000"/>
          <w:sz w:val="24"/>
          <w:u w:val="single"/>
        </w:rPr>
        <w:t>Initial Deferral Election</w:t>
      </w:r>
      <w:r>
        <w:rPr>
          <w:rFonts w:ascii="Times New Roman;serif" w:hAnsi="Times New Roman;serif"/>
          <w:b w:val="false"/>
          <w:color w:val="000000"/>
          <w:sz w:val="24"/>
        </w:rPr>
        <w:t xml:space="preserve">. Except as otherwise determined by the Administrator, an Initial Deferral Election is not available with respect to an Award unless such Award qualifies as Performance-Based Compensation or is permitted by the Administrator. </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Election</w:t>
      </w:r>
      <w:r>
        <w:rPr>
          <w:rFonts w:ascii="Times New Roman;serif" w:hAnsi="Times New Roman;serif"/>
          <w:b w:val="false"/>
          <w:color w:val="000000"/>
          <w:sz w:val="24"/>
        </w:rPr>
        <w:t>. To the extent determined by the Administrator, each Active Participant who is a Non-Employee Director or an RSU Deferral Eligible Employee shall have the right to defer the receipt of some or all of the Shares issuable with respect to Restricted Stock Units that are Performance-Based Compensation, by filing an Initial Deferral Election to defer the receipt of such Shares on a form provided by the Administrator for this purpose.</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Deadline for Initial Deferral Election</w:t>
      </w:r>
      <w:r>
        <w:rPr>
          <w:rFonts w:ascii="Times New Roman;serif" w:hAnsi="Times New Roman;serif"/>
          <w:b w:val="false"/>
          <w:color w:val="000000"/>
          <w:sz w:val="24"/>
        </w:rPr>
        <w:t>. No Initial Deferral Election to defer the receipt of Shares issuable with respect to Restricted Stock Units that are not Performance-Based Compensation shall be effective unless it is filed with the Administrator on or before the 30th day following the Date of Grant and 12 or more months in advance of the applicable Vesting Date. No Initial Deferral Election to defer the receipt of Shares issuable with respect to Restricted Stock Units that are Performance-Based Compensation shall be effective unless it is filed with the Administrator at least six months before the end of the Performance Period during which such Performance-Based Compensation may be earned.</w:t>
      </w:r>
    </w:p>
    <w:p>
      <w:pPr>
        <w:pStyle w:val="TextBody"/>
        <w:bidi w:val="0"/>
        <w:spacing w:lineRule="auto" w:line="240" w:before="0" w:after="240"/>
        <w:ind w:left="0" w:right="0" w:firstLine="2160"/>
        <w:jc w:val="left"/>
        <w:rPr/>
      </w:pPr>
      <w:r>
        <w:rPr>
          <w:rFonts w:ascii="Times New Roman;serif" w:hAnsi="Times New Roman;serif"/>
          <w:b w:val="false"/>
          <w:color w:val="000000"/>
          <w:sz w:val="24"/>
        </w:rPr>
        <w:t>3.6.2.</w:t>
      </w:r>
      <w:r>
        <w:rPr>
          <w:rFonts w:ascii="Times New Roman;serif" w:hAnsi="Times New Roman;serif"/>
          <w:b w:val="false"/>
          <w:color w:val="000000"/>
          <w:sz w:val="24"/>
          <w:u w:val="single"/>
        </w:rPr>
        <w:t>Regular Deferral Election</w:t>
      </w:r>
      <w:r>
        <w:rPr>
          <w:rFonts w:ascii="Times New Roman;serif" w:hAnsi="Times New Roman;serif"/>
          <w:b w:val="false"/>
          <w:color w:val="000000"/>
          <w:sz w:val="24"/>
        </w:rPr>
        <w:t xml:space="preserve">. </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Election</w:t>
      </w:r>
      <w:r>
        <w:rPr>
          <w:rFonts w:ascii="Times New Roman;serif" w:hAnsi="Times New Roman;serif"/>
          <w:b w:val="false"/>
          <w:color w:val="000000"/>
          <w:sz w:val="24"/>
        </w:rPr>
        <w:t xml:space="preserve">. To the extent determined by the Administrator, each Active Participant who is an RSU Deferral Eligible Employee shall have the right to defer the receipt of some or all of the Shares issuable with respect to Restricted Stock Units as to which a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70890"/>
                <wp:effectExtent l="0" t="0" r="0" b="0"/>
                <wp:wrapNone/>
                <wp:docPr id="87" name="Frame86"/>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Vesting Date has not yet occurred, and that are not subject to an Initial Deferral Election, by filing a Regular Deferral Election to defer the receipt of such Shares and related dividend equivalents on a form provided by the Administrator for this purpose.</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Deadline for Regular Deferral Election</w:t>
      </w:r>
      <w:r>
        <w:rPr>
          <w:rFonts w:ascii="Times New Roman;serif" w:hAnsi="Times New Roman;serif"/>
          <w:b w:val="false"/>
          <w:color w:val="000000"/>
          <w:sz w:val="24"/>
        </w:rPr>
        <w:t>. No Regular Deferral Election to defer the receipt of Shares issuable with respect to Restricted Stock Units shall be effective unless it is filed with the Administrator on or before the close of business at least one year before the scheduled Vesting Date of such Restricted Stock Units.</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3.7. </w:t>
      </w:r>
      <w:r>
        <w:rPr>
          <w:rFonts w:ascii="Times New Roman;serif" w:hAnsi="Times New Roman;serif"/>
          <w:b w:val="false"/>
          <w:color w:val="000000"/>
          <w:sz w:val="24"/>
          <w:u w:val="single"/>
        </w:rPr>
        <w:t>Effect of Failure of Vesting Date to Occur</w:t>
      </w:r>
      <w:r>
        <w:rPr>
          <w:rFonts w:ascii="Times New Roman;serif" w:hAnsi="Times New Roman;serif"/>
          <w:b w:val="false"/>
          <w:color w:val="000000"/>
          <w:sz w:val="24"/>
        </w:rPr>
        <w:t>. An Election shall be null and void if a Vesting Date with respect to the Restricted Stock Units does not occur before the distribution date for Shares issuable with respect to such Restricted Stock Units identified in such Election.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3.8. </w:t>
      </w:r>
      <w:r>
        <w:rPr>
          <w:rFonts w:ascii="Times New Roman;serif" w:hAnsi="Times New Roman;serif"/>
          <w:b w:val="false"/>
          <w:color w:val="000000"/>
          <w:sz w:val="24"/>
          <w:u w:val="single"/>
        </w:rPr>
        <w:t>Deferral Period</w:t>
      </w:r>
      <w:r>
        <w:rPr>
          <w:rFonts w:ascii="Times New Roman;serif" w:hAnsi="Times New Roman;serif"/>
          <w:b w:val="false"/>
          <w:color w:val="000000"/>
          <w:sz w:val="24"/>
        </w:rPr>
        <w:t xml:space="preserve">. Except as otherwise provided in Section 3.8.3, all Shares issuable with respect to Restricted Stock Units that are subject to an Election shall be delivered to the Participant (or the Participant’s Beneficiary) without any legend or restrictions (except those that may be imposed by the Administrator, in its sole judgment, to comply with applicable securities laws), on the distribution date for such Shares designated by the Participant on the most recently filed Election. The distribution date may vary with each separate Election. A Participant may elect distribution to commence on (x) the date specified pursuant to an Initial Deferral Election, a Regular Deferral Election, or a Subsequent Deferral Election and, solely in the case of a Subsequent Deferral Election, the Participant’s “separation from service” (within the meaning of Section 409A) in accordance with Section 3.8.3 or (y) if earlier, the Participant’s death. </w:t>
      </w:r>
    </w:p>
    <w:p>
      <w:pPr>
        <w:pStyle w:val="TextBody"/>
        <w:bidi w:val="0"/>
        <w:spacing w:lineRule="auto" w:line="240" w:before="0" w:after="240"/>
        <w:ind w:left="0" w:right="0" w:firstLine="2160"/>
        <w:jc w:val="left"/>
        <w:rPr/>
      </w:pPr>
      <w:r>
        <w:rPr>
          <w:rFonts w:ascii="Times New Roman;serif" w:hAnsi="Times New Roman;serif"/>
          <w:b w:val="false"/>
          <w:color w:val="000000"/>
          <w:sz w:val="24"/>
        </w:rPr>
        <w:t>3.8.1.</w:t>
      </w:r>
      <w:r>
        <w:rPr>
          <w:rFonts w:ascii="Times New Roman;serif" w:hAnsi="Times New Roman;serif"/>
          <w:b w:val="false"/>
          <w:color w:val="000000"/>
          <w:sz w:val="24"/>
          <w:u w:val="single"/>
        </w:rPr>
        <w:t>Initial Deferral Election</w:t>
      </w:r>
      <w:r>
        <w:rPr>
          <w:rFonts w:ascii="Times New Roman;serif" w:hAnsi="Times New Roman;serif"/>
          <w:b w:val="false"/>
          <w:color w:val="000000"/>
          <w:sz w:val="24"/>
        </w:rPr>
        <w:t>. Except as otherwise specifically provided by the Plan, no distribution pursuant to an Initial Deferral Election may be made earlier than the second anniversary of the Vesting Date, nor later than January 2nd of the fifth calendar year beginning after the Vesting Date.</w:t>
      </w:r>
    </w:p>
    <w:p>
      <w:pPr>
        <w:pStyle w:val="TextBody"/>
        <w:bidi w:val="0"/>
        <w:spacing w:lineRule="auto" w:line="240" w:before="0" w:after="240"/>
        <w:ind w:left="0" w:right="0" w:firstLine="2160"/>
        <w:jc w:val="left"/>
        <w:rPr/>
      </w:pPr>
      <w:r>
        <w:rPr>
          <w:rFonts w:ascii="Times New Roman;serif" w:hAnsi="Times New Roman;serif"/>
          <w:b w:val="false"/>
          <w:color w:val="000000"/>
          <w:sz w:val="24"/>
        </w:rPr>
        <w:t>3.8.2.</w:t>
      </w:r>
      <w:r>
        <w:rPr>
          <w:rFonts w:ascii="Times New Roman;serif" w:hAnsi="Times New Roman;serif"/>
          <w:b w:val="false"/>
          <w:color w:val="000000"/>
          <w:sz w:val="24"/>
          <w:u w:val="single"/>
        </w:rPr>
        <w:t>Regular Deferral Election</w:t>
      </w:r>
      <w:r>
        <w:rPr>
          <w:rFonts w:ascii="Times New Roman;serif" w:hAnsi="Times New Roman;serif"/>
          <w:b w:val="false"/>
          <w:color w:val="000000"/>
          <w:sz w:val="24"/>
        </w:rPr>
        <w:t>. Subject to Section 3.8.3, any distribution pursuant to a Regular Deferral Election will be made on the fifth anniversary of the Vesting Date.</w:t>
      </w:r>
    </w:p>
    <w:p>
      <w:pPr>
        <w:pStyle w:val="TextBody"/>
        <w:bidi w:val="0"/>
        <w:spacing w:lineRule="auto" w:line="240" w:before="0" w:after="240"/>
        <w:ind w:left="0" w:right="0" w:firstLine="2160"/>
        <w:jc w:val="left"/>
        <w:rPr/>
      </w:pPr>
      <w:r>
        <w:rPr>
          <w:rFonts w:ascii="Times New Roman;serif" w:hAnsi="Times New Roman;serif"/>
          <w:b w:val="false"/>
          <w:color w:val="000000"/>
          <w:sz w:val="24"/>
        </w:rPr>
        <w:t>3.8.3.</w:t>
      </w:r>
      <w:r>
        <w:rPr>
          <w:rFonts w:ascii="Times New Roman;serif" w:hAnsi="Times New Roman;serif"/>
          <w:b w:val="false"/>
          <w:color w:val="000000"/>
          <w:sz w:val="24"/>
          <w:u w:val="single"/>
        </w:rPr>
        <w:t>Subsequent Deferral Elections</w:t>
      </w:r>
      <w:r>
        <w:rPr>
          <w:rFonts w:ascii="Times New Roman;serif" w:hAnsi="Times New Roman;serif"/>
          <w:b w:val="false"/>
          <w:color w:val="000000"/>
          <w:sz w:val="24"/>
        </w:rPr>
        <w:t>. Notwithstanding anything in this Section 3.8 to the contrary, no Subsequent Deferral Election shall be effective until 12 months after the date on which such Subsequent Deferral Election is made.</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Each Active Participant, and each Participant designated by the Administrator who has served as a Non-Employee Director or Section 16 Officer at any time on or after January 1, 2019 (whether or not such individual is an Active Participant) (A) who has previously made an Initial Deferral Election or a Regular Deferral Election to receive a distribution of part or all of his or her Account, or (B) who, pursuant to this Section 3.8 has made a Subsequent Deferral Election to defer the distribution date for Deferred Stock Units, may delay the payment date until the later of (i) the fifth anniversary of the previously-elected distribution date or (ii) the Participant’s “separation from service” (within the meaning of Section 409A) that occurs at least five (5) years after the previously-elected distribution date, by filing a Subsequent Deferral Election with the Administrator on or before the close of business at least one year before the date on which the distribution would otherwise be made. The number of Subsequent Deferral Elections under this Section 3.8.3 shall not be limited.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70890"/>
                <wp:effectExtent l="0" t="0" r="0" b="0"/>
                <wp:wrapNone/>
                <wp:docPr id="88" name="Frame87"/>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The Administrator may, in its sole and absolute discretion, permit a Retired Participant to elect to defer the distribution date of the Retired Participant’s Deferred Stock Units for five (5) additional years from the date payment would otherwise be made. A Subsequent Deferral Election must be filed with the Administrator on or before the close of business at least one year before the date on which the distribution would otherwise be made, as reflected on the Retired Participant’s last Election. For avoidance of doubt, Participants described in Section 3.8.3(a) who have served as a Non-Employee Director or Section 16 Officer at any time on or after January 1, 2019 may make Subsequent Deferral Elections as provided in Section 3.8.3(a) without regard to the exercise of the Administrator’s discretion.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3.9. </w:t>
      </w:r>
      <w:r>
        <w:rPr>
          <w:rFonts w:ascii="Times New Roman;serif" w:hAnsi="Times New Roman;serif"/>
          <w:b w:val="false"/>
          <w:color w:val="000000"/>
          <w:sz w:val="24"/>
          <w:u w:val="single"/>
        </w:rPr>
        <w:t>Book Accounts</w:t>
      </w:r>
      <w:r>
        <w:rPr>
          <w:rFonts w:ascii="Times New Roman;serif" w:hAnsi="Times New Roman;serif"/>
          <w:b w:val="false"/>
          <w:color w:val="000000"/>
          <w:sz w:val="24"/>
        </w:rPr>
        <w:t>. An RSU Account shall be established for each Participant who makes an Election with respect to an Award. Deferred Stock Units shall be credited to the RSU Account as of the date an Election becomes effective. Each Deferred Stock Unit will represent a hypothetical Share credited to the Account in lieu of delivery of the Shares to which the Election applies. To the extent an RSU Account is deemed invested in an Other Investment Fund, the Administrator shall credit income, gains and losses on the same basis as if the RSU Account were directly invested in such Other Investment Fund. To the extent an RSU Account is deemed invested in the Income Fund, the Administrator shall credit earnings with respect to such RSU Account at the Applicable Interest Rate, as further provided in Section 3.10.</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3.10. </w:t>
      </w:r>
      <w:r>
        <w:rPr>
          <w:rFonts w:ascii="Times New Roman;serif" w:hAnsi="Times New Roman;serif"/>
          <w:b w:val="false"/>
          <w:color w:val="000000"/>
          <w:sz w:val="24"/>
          <w:u w:val="single"/>
        </w:rPr>
        <w:t>Crediting of Income, Gains and Losses on RSU Accounts</w:t>
      </w:r>
      <w:r>
        <w:rPr>
          <w:rFonts w:ascii="Times New Roman;serif" w:hAnsi="Times New Roman;serif"/>
          <w:b w:val="false"/>
          <w:color w:val="000000"/>
          <w:sz w:val="24"/>
        </w:rPr>
        <w:t xml:space="preserve">. </w:t>
      </w:r>
    </w:p>
    <w:p>
      <w:pPr>
        <w:pStyle w:val="TextBody"/>
        <w:bidi w:val="0"/>
        <w:spacing w:lineRule="auto" w:line="240" w:before="0" w:after="240"/>
        <w:ind w:left="0" w:right="0" w:firstLine="2160"/>
        <w:jc w:val="left"/>
        <w:rPr/>
      </w:pPr>
      <w:r>
        <w:rPr>
          <w:rFonts w:ascii="Times New Roman;serif" w:hAnsi="Times New Roman;serif"/>
          <w:b w:val="false"/>
          <w:color w:val="000000"/>
          <w:sz w:val="24"/>
        </w:rPr>
        <w:t>3.10.1.</w:t>
      </w:r>
      <w:r>
        <w:rPr>
          <w:rFonts w:ascii="Times New Roman;serif" w:hAnsi="Times New Roman;serif"/>
          <w:b w:val="false"/>
          <w:color w:val="000000"/>
          <w:sz w:val="24"/>
          <w:u w:val="single"/>
        </w:rPr>
        <w:t>In General</w:t>
      </w:r>
      <w:r>
        <w:rPr>
          <w:rFonts w:ascii="Times New Roman;serif" w:hAnsi="Times New Roman;serif"/>
          <w:b w:val="false"/>
          <w:color w:val="000000"/>
          <w:sz w:val="24"/>
        </w:rPr>
        <w:t xml:space="preserve">. Except as otherwise provided in this Section 3.10 or Section 3.11, the value of such portion of a Participant’s RSU Account shall be determined as if it were invested in the Company Stock Fund. </w:t>
      </w:r>
    </w:p>
    <w:p>
      <w:pPr>
        <w:pStyle w:val="TextBody"/>
        <w:bidi w:val="0"/>
        <w:spacing w:lineRule="auto" w:line="240" w:before="0" w:after="240"/>
        <w:ind w:left="0" w:right="0" w:firstLine="2160"/>
        <w:jc w:val="left"/>
        <w:rPr/>
      </w:pPr>
      <w:r>
        <w:rPr>
          <w:rFonts w:ascii="Times New Roman;serif" w:hAnsi="Times New Roman;serif"/>
          <w:b w:val="false"/>
          <w:color w:val="000000"/>
          <w:sz w:val="24"/>
        </w:rPr>
        <w:t>3.10.2.</w:t>
      </w:r>
      <w:r>
        <w:rPr>
          <w:rFonts w:ascii="Times New Roman;serif" w:hAnsi="Times New Roman;serif"/>
          <w:b w:val="false"/>
          <w:color w:val="000000"/>
          <w:sz w:val="24"/>
          <w:u w:val="single"/>
        </w:rPr>
        <w:t>Credits to Other Investment Funds</w:t>
      </w:r>
      <w:r>
        <w:rPr>
          <w:rFonts w:ascii="Times New Roman;serif" w:hAnsi="Times New Roman;serif"/>
          <w:b w:val="false"/>
          <w:color w:val="000000"/>
          <w:sz w:val="24"/>
        </w:rPr>
        <w:t xml:space="preserve">. </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Post-Termination Elections</w:t>
      </w:r>
      <w:r>
        <w:rPr>
          <w:rFonts w:ascii="Times New Roman;serif" w:hAnsi="Times New Roman;serif"/>
          <w:b w:val="false"/>
          <w:color w:val="000000"/>
          <w:sz w:val="24"/>
        </w:rPr>
        <w:t xml:space="preserve">. To the extent credited to the Income Fund, the RSU Accounts of Non-Employee Directors and Section 16 Officers whose Subsequent Deferral Elections are made after their termination of service shall be credited to an Other Investment Fund. The Administrator may designate the specific Other Investment Fund or Funds to which the RSU Account of any individual who has terminated service to the Company shall be invested. </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High Balance Participants</w:t>
      </w:r>
      <w:r>
        <w:rPr>
          <w:rFonts w:ascii="Times New Roman;serif" w:hAnsi="Times New Roman;serif"/>
          <w:b w:val="false"/>
          <w:color w:val="000000"/>
          <w:sz w:val="24"/>
        </w:rPr>
        <w:t xml:space="preserve">. </w:t>
      </w:r>
    </w:p>
    <w:p>
      <w:pPr>
        <w:pStyle w:val="TextBody"/>
        <w:bidi w:val="0"/>
        <w:spacing w:lineRule="auto" w:line="240" w:before="0" w:after="240"/>
        <w:ind w:left="0" w:right="0" w:firstLine="2880"/>
        <w:jc w:val="left"/>
        <w:rPr/>
      </w:pPr>
      <w:r>
        <w:rPr>
          <w:rFonts w:ascii="Times New Roman;serif" w:hAnsi="Times New Roman;serif"/>
          <w:b w:val="false"/>
          <w:color w:val="000000"/>
          <w:sz w:val="24"/>
        </w:rPr>
        <w:t>(i)</w:t>
      </w:r>
      <w:r>
        <w:rPr>
          <w:rFonts w:ascii="Times New Roman;serif" w:hAnsi="Times New Roman;serif"/>
          <w:b w:val="false"/>
          <w:color w:val="000000"/>
          <w:sz w:val="24"/>
        </w:rPr>
        <w:t xml:space="preserve">If the Income Fund of a Participant other than a Non-Employee Director or Covered Participant exceeds the Income Fund Limit as of the last day of a Plan Year, the excess of (x) the amount credited to the Participant’s Income Fund </w:t>
      </w:r>
      <w:r>
        <w:rPr>
          <w:rFonts w:ascii="Times New Roman;serif" w:hAnsi="Times New Roman;serif"/>
          <w:b w:val="false"/>
          <w:i/>
          <w:color w:val="000000"/>
          <w:sz w:val="24"/>
        </w:rPr>
        <w:t>over</w:t>
      </w:r>
      <w:r>
        <w:rPr>
          <w:color w:val="000000"/>
        </w:rPr>
        <w:t xml:space="preserve"> </w:t>
      </w:r>
      <w:r>
        <w:rPr>
          <w:rFonts w:ascii="Times New Roman;serif" w:hAnsi="Times New Roman;serif"/>
          <w:b w:val="false"/>
          <w:color w:val="000000"/>
          <w:sz w:val="24"/>
        </w:rPr>
        <w:t xml:space="preserve">(y) the Income Fund Limit shall be deemed transferred to an Other Investment Fund as of such last day of such Plan Year. </w:t>
      </w:r>
    </w:p>
    <w:p>
      <w:pPr>
        <w:pStyle w:val="TextBody"/>
        <w:bidi w:val="0"/>
        <w:spacing w:lineRule="auto" w:line="240" w:before="0" w:after="240"/>
        <w:ind w:left="0" w:right="0" w:firstLine="2880"/>
        <w:jc w:val="left"/>
        <w:rPr/>
      </w:pPr>
      <w:r>
        <w:rPr>
          <w:rFonts w:ascii="Times New Roman;serif" w:hAnsi="Times New Roman;serif"/>
          <w:b w:val="false"/>
          <w:color w:val="000000"/>
          <w:sz w:val="24"/>
        </w:rPr>
        <w:t>(ii)</w:t>
      </w:r>
      <w:r>
        <w:rPr>
          <w:rFonts w:ascii="Times New Roman;serif" w:hAnsi="Times New Roman;serif"/>
          <w:b w:val="false"/>
          <w:color w:val="000000"/>
          <w:sz w:val="24"/>
          <w:shd w:fill="FFFFFF" w:val="clear"/>
        </w:rPr>
        <w:t>A</w:t>
      </w:r>
      <w:r>
        <w:rPr>
          <w:rFonts w:ascii="Times New Roman;serif" w:hAnsi="Times New Roman;serif"/>
          <w:b w:val="false"/>
          <w:color w:val="000000"/>
          <w:sz w:val="24"/>
        </w:rPr>
        <w:t>ll amounts credited to a Non-Employee Director’s RSU Account shall be deemed invested in an Other Investment Fund. The amount credited to the Income Fund with respect to an individual who becomes a Non-Employee Director shall be transferred to an Other Investment Fund as of the first day of the first month to commence immediately following the date such individual becomes a Non-Employee Director, and all amounts credited to the Non-Employee Director’s RSU Account on and after such date shall be deemed invested in an Other Investment Fund.</w:t>
      </w:r>
    </w:p>
    <w:p>
      <w:pPr>
        <w:pStyle w:val="TextBody"/>
        <w:bidi w:val="0"/>
        <w:spacing w:lineRule="auto" w:line="240" w:before="0" w:after="240"/>
        <w:ind w:left="0" w:right="0" w:firstLine="2880"/>
        <w:jc w:val="left"/>
        <w:rPr/>
      </w:pPr>
      <w:r>
        <w:rPr>
          <w:rFonts w:ascii="Times New Roman;serif" w:hAnsi="Times New Roman;serif"/>
          <w:b w:val="false"/>
          <w:color w:val="000000"/>
          <w:sz w:val="24"/>
        </w:rPr>
        <w:t>(iii)</w:t>
      </w:r>
      <w:r>
        <w:rPr>
          <w:rFonts w:ascii="Times New Roman;serif" w:hAnsi="Times New Roman;serif"/>
          <w:b w:val="false"/>
          <w:color w:val="000000"/>
          <w:sz w:val="24"/>
        </w:rPr>
        <w:t xml:space="preserve">All amounts credited to a Covered Participant’s RSU Account shall be deemed invested in an Other Investment Fund. The amount credited to the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70890"/>
                <wp:effectExtent l="0" t="0" r="0" b="0"/>
                <wp:wrapNone/>
                <wp:docPr id="89" name="Frame88"/>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Income Fund with respect to an individual who becomes a Covered Participant shall be transferred to an Other Investment Fund as of the first day of the first month to commence immediately following the date such individual becomes a Covered Participant, and all amounts credited to the Covered Participant’s RSU Account on and after such date shall be deemed invested in an Other Investment Fund.</w:t>
      </w:r>
    </w:p>
    <w:p>
      <w:pPr>
        <w:pStyle w:val="TextBody"/>
        <w:bidi w:val="0"/>
        <w:spacing w:lineRule="auto" w:line="240" w:before="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Section 16 Officers</w:t>
      </w:r>
      <w:r>
        <w:rPr>
          <w:rFonts w:ascii="Times New Roman;serif" w:hAnsi="Times New Roman;serif"/>
          <w:b w:val="false"/>
          <w:color w:val="000000"/>
          <w:sz w:val="24"/>
        </w:rPr>
        <w:t>. Pursuant to rules established by the Administrator, a Section 16 Officer may elect to (x) transfer amounts credited to their RSU Accounts that were previously subject to a Diversification Election and that are deemed to be invested in the Income Fund to an Other Investment Fund, or (y) transfer amounts credited to their RSU Accounts that were previously subject to a Diversification Election and that are deemed to be invested in an Other Investment Fund to the Income Fund to the extent that immediately after such transfer, the amount credited to such Section 16 Officer’s Income Fund does not exceed the Income Fund Limit.</w:t>
      </w:r>
    </w:p>
    <w:p>
      <w:pPr>
        <w:pStyle w:val="TextBody"/>
        <w:bidi w:val="0"/>
        <w:spacing w:lineRule="auto" w:line="240" w:before="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Subsequent Deferral Elections</w:t>
      </w:r>
      <w:r>
        <w:rPr>
          <w:rFonts w:ascii="Times New Roman;serif" w:hAnsi="Times New Roman;serif"/>
          <w:b w:val="false"/>
          <w:color w:val="000000"/>
          <w:sz w:val="24"/>
        </w:rPr>
        <w:t>. Amounts subject to a Subsequent Deferral Election that takes effect while a Participant’s Income Fund exceeds the Income Fund Limit shall be deemed invested in an Other Investment Fund.</w:t>
      </w:r>
    </w:p>
    <w:p>
      <w:pPr>
        <w:pStyle w:val="TextBody"/>
        <w:bidi w:val="0"/>
        <w:spacing w:lineRule="auto" w:line="240" w:before="0" w:after="240"/>
        <w:ind w:left="0" w:right="0" w:firstLine="2160"/>
        <w:jc w:val="left"/>
        <w:rPr/>
      </w:pPr>
      <w:r>
        <w:rPr>
          <w:rFonts w:ascii="Times New Roman;serif" w:hAnsi="Times New Roman;serif"/>
          <w:b w:val="false"/>
          <w:color w:val="000000"/>
          <w:sz w:val="24"/>
        </w:rPr>
        <w:t>3.10.3.</w:t>
      </w:r>
      <w:r>
        <w:rPr>
          <w:rFonts w:ascii="Times New Roman;serif" w:hAnsi="Times New Roman;serif"/>
          <w:b w:val="false"/>
          <w:color w:val="000000"/>
          <w:sz w:val="24"/>
          <w:u w:val="single"/>
        </w:rPr>
        <w:t>Protocol for Deemed Transfers between Income Fund and an Other Investment Fund</w:t>
      </w:r>
      <w:r>
        <w:rPr>
          <w:rFonts w:ascii="Times New Roman;serif" w:hAnsi="Times New Roman;serif"/>
          <w:b w:val="false"/>
          <w:color w:val="000000"/>
          <w:sz w:val="24"/>
        </w:rPr>
        <w:t xml:space="preserve">. As provided in this Article 3, the timing of distributions of amounts credited to a Participant’s RSU Account is established pursuant to Initial Deferral Elections, Regular Deferral Elections, and Subsequent Deferral Elections, and a Participant may elect various distribution dates for amounts subject to Initial Deferral Elections, Regular Deferral Elections, and Subsequent Deferral Elections. Amounts deemed transferred from the Income Fund to Other Investment Funds as a result of the application of the Income Fund Limit or pursuant to elective transfers described in Section 3.10.2(c), and amounts deemed transferred from an Other Investment Fund to the Income Fund pursuant to elective transfers described in Section 3.10.2(c) shall be sourced and allocated on a uniform and consistent basis as determined by the Administrator;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amounts transferred among Funds, and any income, gains or losses credited with respect to such transferred amounts, shall continue to be subject to the distribution timing and manner of distribution election to which such amounts were subject immediately before the deemed transfer.</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3.11. </w:t>
      </w:r>
      <w:r>
        <w:rPr>
          <w:color w:val="000000"/>
        </w:rPr>
        <w:t>    </w:t>
      </w:r>
      <w:r>
        <w:rPr>
          <w:rFonts w:ascii="Times New Roman;serif" w:hAnsi="Times New Roman;serif"/>
          <w:b w:val="false"/>
          <w:color w:val="000000"/>
          <w:sz w:val="24"/>
          <w:u w:val="single"/>
        </w:rPr>
        <w:t>Diversification Elections</w:t>
      </w:r>
      <w:r>
        <w:rPr>
          <w:rFonts w:ascii="Times New Roman;serif" w:hAnsi="Times New Roman;serif"/>
          <w:b w:val="false"/>
          <w:color w:val="000000"/>
          <w:sz w:val="24"/>
        </w:rPr>
        <w:t>. This Section 3.11 shall not apply to (x) elective transfers described in Section 3.10.2(c) of amounts that were previously subject to a Diversification Election or (y) the Account of any Non-Employee Director.</w:t>
      </w:r>
    </w:p>
    <w:p>
      <w:pPr>
        <w:pStyle w:val="TextBody"/>
        <w:bidi w:val="0"/>
        <w:spacing w:lineRule="auto" w:line="240" w:before="0" w:after="240"/>
        <w:ind w:left="0" w:right="0" w:firstLine="2160"/>
        <w:jc w:val="left"/>
        <w:rPr/>
      </w:pPr>
      <w:r>
        <w:rPr>
          <w:rFonts w:ascii="Times New Roman;serif" w:hAnsi="Times New Roman;serif"/>
          <w:b w:val="false"/>
          <w:color w:val="000000"/>
          <w:sz w:val="24"/>
        </w:rPr>
        <w:t>3.11.1.</w:t>
      </w:r>
      <w:r>
        <w:rPr>
          <w:rFonts w:ascii="Times New Roman;serif" w:hAnsi="Times New Roman;serif"/>
          <w:b w:val="false"/>
          <w:color w:val="000000"/>
          <w:sz w:val="24"/>
          <w:u w:val="single"/>
        </w:rPr>
        <w:t>In General</w:t>
      </w:r>
      <w:r>
        <w:rPr>
          <w:rFonts w:ascii="Times New Roman;serif" w:hAnsi="Times New Roman;serif"/>
          <w:b w:val="false"/>
          <w:color w:val="000000"/>
          <w:sz w:val="24"/>
        </w:rPr>
        <w:t>. Except as otherwise provided in Section 3.11.2, and Section 3.11.5, the opportunity to make a Diversification Election shall be available at any time that a Registration Statement filed under the 1933 Act (a “</w:t>
      </w:r>
      <w:r>
        <w:rPr>
          <w:rFonts w:ascii="Times New Roman;serif" w:hAnsi="Times New Roman;serif"/>
          <w:b w:val="false"/>
          <w:color w:val="000000"/>
          <w:sz w:val="24"/>
          <w:u w:val="single"/>
        </w:rPr>
        <w:t>Registration Statement</w:t>
      </w:r>
      <w:r>
        <w:rPr>
          <w:color w:val="000000"/>
        </w:rPr>
        <w:t>”</w:t>
      </w:r>
      <w:r>
        <w:rPr>
          <w:rFonts w:ascii="Times New Roman;serif" w:hAnsi="Times New Roman;serif"/>
          <w:b w:val="false"/>
          <w:color w:val="000000"/>
          <w:sz w:val="24"/>
        </w:rPr>
        <w:t xml:space="preserve">) is effective with respect to the Plan. </w:t>
      </w:r>
    </w:p>
    <w:p>
      <w:pPr>
        <w:pStyle w:val="TextBody"/>
        <w:bidi w:val="0"/>
        <w:spacing w:lineRule="auto" w:line="240" w:before="0" w:after="240"/>
        <w:ind w:left="0" w:right="0" w:firstLine="2160"/>
        <w:jc w:val="left"/>
        <w:rPr/>
      </w:pPr>
      <w:r>
        <w:rPr>
          <w:rFonts w:ascii="Times New Roman;serif" w:hAnsi="Times New Roman;serif"/>
          <w:b w:val="false"/>
          <w:color w:val="000000"/>
          <w:sz w:val="24"/>
        </w:rPr>
        <w:t>3.11.2.</w:t>
      </w:r>
      <w:r>
        <w:rPr>
          <w:rFonts w:ascii="Times New Roman;serif" w:hAnsi="Times New Roman;serif"/>
          <w:b w:val="false"/>
          <w:color w:val="000000"/>
          <w:sz w:val="24"/>
          <w:u w:val="single"/>
        </w:rPr>
        <w:t>Administrator Approval of Diversification Elections</w:t>
      </w:r>
      <w:r>
        <w:rPr>
          <w:rFonts w:ascii="Times New Roman;serif" w:hAnsi="Times New Roman;serif"/>
          <w:b w:val="false"/>
          <w:color w:val="000000"/>
          <w:sz w:val="24"/>
        </w:rPr>
        <w:t>. The opportunity to make a Diversification Election and the extent to which a Diversification Election applies to Deferred Stock Units credited to the Company Stock Fund may be approved or rejected by the Administrator in its sole discretion. A Diversification Election shall only be effective if (and to the extent) approved by the Administrator.</w:t>
      </w:r>
    </w:p>
    <w:p>
      <w:pPr>
        <w:pStyle w:val="TextBody"/>
        <w:bidi w:val="0"/>
        <w:spacing w:lineRule="auto" w:line="240" w:before="0" w:after="240"/>
        <w:ind w:left="0" w:right="0" w:firstLine="2160"/>
        <w:jc w:val="left"/>
        <w:rPr/>
      </w:pPr>
      <w:r>
        <w:rPr>
          <w:rFonts w:ascii="Times New Roman;serif" w:hAnsi="Times New Roman;serif"/>
          <w:b w:val="false"/>
          <w:color w:val="000000"/>
          <w:sz w:val="24"/>
        </w:rPr>
        <w:t>3.11.3.</w:t>
      </w:r>
      <w:r>
        <w:rPr>
          <w:rFonts w:ascii="Times New Roman;serif" w:hAnsi="Times New Roman;serif"/>
          <w:b w:val="false"/>
          <w:color w:val="000000"/>
          <w:sz w:val="24"/>
          <w:u w:val="single"/>
        </w:rPr>
        <w:t>Time and Manner of Making Diversification Elections</w:t>
      </w:r>
      <w:r>
        <w:rPr>
          <w:rFonts w:ascii="Times New Roman;serif" w:hAnsi="Times New Roman;serif"/>
          <w:b w:val="false"/>
          <w:color w:val="000000"/>
          <w:sz w:val="24"/>
        </w:rPr>
        <w:t xml:space="preserve">. Each Participant may make a Diversification Election to convert Deferred Stock Units attributable to such Award credited to the Company Stock Fund to the Income Fund. Except as otherwise provided in Section 3.11.2, no deemed transfers shall be permitted from the Company Stock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70890"/>
                <wp:effectExtent l="0" t="0" r="0" b="0"/>
                <wp:wrapNone/>
                <wp:docPr id="90" name="Frame89"/>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Fund to the Income Fund. Diversification Elections under this Section 3.11.3 shall be prospectively effective on the later of (A) the date designated by the Participant on a Diversification Election filed with and approved by the Administrator; or (B) the business day next following the lapse of six months from the date Deferred Stock Units subject to the Diversification Election are credited to the Participant’s RSU Account. In no event may a Diversification Election be effective earlier than the business day next following the lapse of six (6) months from the date Deferred Stock Units are credited to the RSU Account following the lapse of restrictions with respect to an Award.</w:t>
      </w:r>
    </w:p>
    <w:p>
      <w:pPr>
        <w:pStyle w:val="TextBody"/>
        <w:bidi w:val="0"/>
        <w:spacing w:lineRule="auto" w:line="240" w:before="0" w:after="240"/>
        <w:ind w:left="0" w:right="0" w:firstLine="2160"/>
        <w:jc w:val="left"/>
        <w:rPr/>
      </w:pPr>
      <w:r>
        <w:rPr>
          <w:rFonts w:ascii="Times New Roman;serif" w:hAnsi="Times New Roman;serif"/>
          <w:b w:val="false"/>
          <w:color w:val="000000"/>
          <w:sz w:val="24"/>
        </w:rPr>
        <w:t>3.11.4.</w:t>
      </w:r>
      <w:r>
        <w:rPr>
          <w:rFonts w:ascii="Times New Roman;serif" w:hAnsi="Times New Roman;serif"/>
          <w:b w:val="false"/>
          <w:color w:val="000000"/>
          <w:sz w:val="24"/>
          <w:u w:val="single"/>
        </w:rPr>
        <w:t>Interfund Transfers and Timing of Credits</w:t>
      </w:r>
      <w:r>
        <w:rPr>
          <w:rFonts w:ascii="Times New Roman;serif" w:hAnsi="Times New Roman;serif"/>
          <w:b w:val="false"/>
          <w:color w:val="000000"/>
          <w:sz w:val="24"/>
        </w:rPr>
        <w:t>. RSU Account balances subject to a Diversification Election under this Section 3.11 shall be deemed transferred from the Company Stock Fund to the Income Fund or Other Investment Fund, as applicable, immediately following the effective date of such Diversification Election. The value of amounts deemed invested in the Income Fund or Other Investment Fund immediately following the effective date of a Diversification Election shall be based on hypothetical sales of Shares underlying the liquidated Deferred Stock Units (and, if applicable, hypothetical purchases of shares of Other Investment Funds) at Fair Market Value as of the effective date of a Diversification Election.</w:t>
      </w:r>
    </w:p>
    <w:p>
      <w:pPr>
        <w:pStyle w:val="TextBody"/>
        <w:bidi w:val="0"/>
        <w:spacing w:lineRule="auto" w:line="240" w:before="0" w:after="240"/>
        <w:ind w:left="0" w:right="0" w:firstLine="2160"/>
        <w:jc w:val="left"/>
        <w:rPr/>
      </w:pPr>
      <w:r>
        <w:rPr>
          <w:rFonts w:ascii="Times New Roman;serif" w:hAnsi="Times New Roman;serif"/>
          <w:b w:val="false"/>
          <w:color w:val="000000"/>
          <w:sz w:val="24"/>
        </w:rPr>
        <w:t>3.11.5.</w:t>
      </w:r>
      <w:r>
        <w:rPr>
          <w:rFonts w:ascii="Times New Roman;serif" w:hAnsi="Times New Roman;serif"/>
          <w:b w:val="false"/>
          <w:color w:val="000000"/>
          <w:sz w:val="24"/>
          <w:u w:val="single"/>
        </w:rPr>
        <w:t>Diversification Limit</w:t>
      </w:r>
      <w:r>
        <w:rPr>
          <w:rFonts w:ascii="Times New Roman;serif" w:hAnsi="Times New Roman;serif"/>
          <w:b w:val="false"/>
          <w:color w:val="000000"/>
          <w:sz w:val="24"/>
        </w:rPr>
        <w:t xml:space="preserve">. No Diversification Election during a calendar year by an Eligible Employee shall be effective and credited to the Income Fund if the sum of (w) the value of the Eligible Employee’s Account in the Prior Equity Plan,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(x) the value of the Eligible Employee’s Account in the Prior DC Plan,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(y) the value of the Eligible Employee’s Account in the 2027 DC Plan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(z) the value of the Eligible Employee’s Account in this Plan exceeds the Contribution Limit with respect to such calendar year, determined as of September 30th immediately preceding such calendar year.</w:t>
      </w:r>
    </w:p>
    <w:p>
      <w:pPr>
        <w:pStyle w:val="TextBody"/>
        <w:bidi w:val="0"/>
        <w:spacing w:lineRule="auto" w:line="240" w:before="0" w:after="240"/>
        <w:jc w:val="center"/>
        <w:rPr/>
      </w:pPr>
      <w:r>
        <w:rPr>
          <w:rFonts w:ascii="Times New Roman;serif" w:hAnsi="Times New Roman;serif"/>
          <w:b/>
          <w:color w:val="000000"/>
          <w:sz w:val="24"/>
        </w:rPr>
        <w:t>ARTICLE 4</w:t>
      </w:r>
      <w:r>
        <w:rPr>
          <w:color w:val="000000"/>
        </w:rPr>
        <w:t xml:space="preserve"> – </w:t>
      </w:r>
      <w:r>
        <w:rPr>
          <w:rFonts w:ascii="Times New Roman;serif" w:hAnsi="Times New Roman;serif"/>
          <w:b/>
          <w:color w:val="000000"/>
          <w:sz w:val="24"/>
        </w:rPr>
        <w:t>MANNER OF DISTRIBUTION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4.1. </w:t>
      </w:r>
      <w:r>
        <w:rPr>
          <w:rFonts w:ascii="Times New Roman;serif" w:hAnsi="Times New Roman;serif"/>
          <w:b w:val="false"/>
          <w:color w:val="000000"/>
          <w:sz w:val="24"/>
          <w:u w:val="single"/>
        </w:rPr>
        <w:t>Manner of Distribution</w:t>
      </w:r>
      <w:r>
        <w:rPr>
          <w:rFonts w:ascii="Times New Roman;serif" w:hAnsi="Times New Roman;serif"/>
          <w:b w:val="false"/>
          <w:color w:val="000000"/>
          <w:sz w:val="24"/>
        </w:rPr>
        <w:t xml:space="preserve">. </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Amounts credited to an Account shall be distributed, pursuant to an Initial Deferral Election, Regular Deferral Election or Subsequent Deferral Election in either: </w:t>
      </w:r>
    </w:p>
    <w:p>
      <w:pPr>
        <w:pStyle w:val="TextBody"/>
        <w:bidi w:val="0"/>
        <w:spacing w:lineRule="auto" w:line="240" w:before="0" w:after="240"/>
        <w:ind w:left="0" w:right="0" w:firstLine="2880"/>
        <w:jc w:val="left"/>
        <w:rPr/>
      </w:pPr>
      <w:r>
        <w:rPr>
          <w:rFonts w:ascii="Times New Roman;serif" w:hAnsi="Times New Roman;serif"/>
          <w:b w:val="false"/>
          <w:color w:val="000000"/>
          <w:sz w:val="24"/>
        </w:rPr>
        <w:t>(i)</w:t>
      </w:r>
      <w:r>
        <w:rPr>
          <w:rFonts w:ascii="Times New Roman;serif" w:hAnsi="Times New Roman;serif"/>
          <w:b w:val="false"/>
          <w:color w:val="000000"/>
          <w:sz w:val="24"/>
        </w:rPr>
        <w:t>a lump sum payment; or</w:t>
      </w:r>
    </w:p>
    <w:p>
      <w:pPr>
        <w:pStyle w:val="TextBody"/>
        <w:bidi w:val="0"/>
        <w:spacing w:lineRule="auto" w:line="240" w:before="0" w:after="240"/>
        <w:ind w:left="0" w:right="0" w:firstLine="2880"/>
        <w:jc w:val="left"/>
        <w:rPr/>
      </w:pPr>
      <w:r>
        <w:rPr>
          <w:rFonts w:ascii="Times New Roman;serif" w:hAnsi="Times New Roman;serif"/>
          <w:b w:val="false"/>
          <w:color w:val="000000"/>
          <w:sz w:val="24"/>
        </w:rPr>
        <w:t>(ii)</w:t>
      </w:r>
      <w:r>
        <w:rPr>
          <w:rFonts w:ascii="Times New Roman;serif" w:hAnsi="Times New Roman;serif"/>
          <w:b w:val="false"/>
          <w:color w:val="000000"/>
          <w:sz w:val="24"/>
        </w:rPr>
        <w:t>Substantially equal monthly or annual installments over a five (5)- or ten (10)- year period.</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Installment distributions payable in the form of shares of Company Stock shall be rounded to the next lower whole share. Except for amounts described in Section 5.2(c), all distributions shall be made in cash.</w:t>
      </w:r>
    </w:p>
    <w:p>
      <w:pPr>
        <w:pStyle w:val="TextBody"/>
        <w:bidi w:val="0"/>
        <w:spacing w:before="0" w:after="0"/>
        <w:jc w:val="left"/>
        <w:rPr/>
      </w:pPr>
      <w:r>
        <w:rPr/>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To the extent permitted by Section 409A, notwithstanding any Initial Deferral Election, Regular Deferral Election, or Subsequent Deferral Election or any other provision of the Plan to the contrary:</w:t>
      </w:r>
    </w:p>
    <w:p>
      <w:pPr>
        <w:pStyle w:val="TextBody"/>
        <w:bidi w:val="0"/>
        <w:spacing w:lineRule="auto" w:line="240" w:before="0" w:after="240"/>
        <w:ind w:left="0" w:right="0" w:firstLine="2880"/>
        <w:jc w:val="left"/>
        <w:rPr/>
      </w:pPr>
      <w:r>
        <w:rPr>
          <w:rFonts w:ascii="Times New Roman;serif" w:hAnsi="Times New Roman;serif"/>
          <w:b w:val="false"/>
          <w:color w:val="000000"/>
          <w:sz w:val="24"/>
        </w:rPr>
        <w:t>(i)</w:t>
      </w:r>
      <w:r>
        <w:rPr>
          <w:rFonts w:ascii="Times New Roman;serif" w:hAnsi="Times New Roman;serif"/>
          <w:b w:val="false"/>
          <w:color w:val="000000"/>
          <w:sz w:val="24"/>
        </w:rPr>
        <w:t>Distributions pursuant to Initial Deferral Elections, Regular Deferral Elections, or Subsequent Deferral Elections shall be made in one lump sum payment unless the portion of a Participant’s Account subject to distribution, as of both the date of the Initial Deferral Election or Subsequent Deferral Election and the benefit commencement date, has a value of more than the applicable amount under section 402(g)(1)(B) of the Code as of the first day of the Plan Year.</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70890"/>
                <wp:effectExtent l="0" t="0" r="0" b="0"/>
                <wp:wrapNone/>
                <wp:docPr id="91" name="Frame90"/>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2880"/>
        <w:jc w:val="left"/>
        <w:rPr/>
      </w:pPr>
      <w:r>
        <w:rPr>
          <w:rFonts w:ascii="Times New Roman;serif" w:hAnsi="Times New Roman;serif"/>
          <w:b w:val="false"/>
          <w:color w:val="000000"/>
          <w:sz w:val="24"/>
        </w:rPr>
        <w:t>(ii)</w:t>
      </w:r>
      <w:r>
        <w:rPr>
          <w:rFonts w:ascii="Times New Roman;serif" w:hAnsi="Times New Roman;serif"/>
          <w:b w:val="false"/>
          <w:color w:val="000000"/>
          <w:sz w:val="24"/>
        </w:rPr>
        <w:t xml:space="preserve">Following a Participant’s termination of employment for any reason, if the amount credited to the Participant’s Account has a value that is less than the amount referenced in Section 4.1(b)(i), the Administrator may, in its sole discretion, direct that such amount be distributed to the Participant (or Beneficiary, as applicable) in one lump sum payment;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payment is made on or before the later of (i) December 31 of the calendar year in which the Participant terminates employment or (ii) the date two and one-half months after the Participant terminates employment.</w:t>
      </w:r>
    </w:p>
    <w:p>
      <w:pPr>
        <w:pStyle w:val="TextBody"/>
        <w:bidi w:val="0"/>
        <w:spacing w:lineRule="auto" w:line="240" w:before="0" w:after="240"/>
        <w:ind w:left="0" w:right="0" w:firstLine="2880"/>
        <w:jc w:val="left"/>
        <w:rPr/>
      </w:pPr>
      <w:r>
        <w:rPr>
          <w:rFonts w:ascii="Times New Roman;serif" w:hAnsi="Times New Roman;serif"/>
          <w:b w:val="false"/>
          <w:color w:val="000000"/>
          <w:sz w:val="24"/>
        </w:rPr>
        <w:t>(iii)</w:t>
      </w:r>
      <w:r>
        <w:rPr>
          <w:rFonts w:ascii="Times New Roman;serif" w:hAnsi="Times New Roman;serif"/>
          <w:b w:val="false"/>
          <w:color w:val="000000"/>
          <w:sz w:val="24"/>
        </w:rPr>
        <w:t xml:space="preserve">With respect to the distribution of a Deceased Participant’s Account, any deferral contributed to such Account on or after January 1, 2018 and related earnings shall be distributed in one lump sum payment. </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4.2. </w:t>
      </w:r>
      <w:r>
        <w:rPr>
          <w:rFonts w:ascii="Times New Roman;serif" w:hAnsi="Times New Roman;serif"/>
          <w:b w:val="false"/>
          <w:color w:val="000000"/>
          <w:sz w:val="24"/>
          <w:u w:val="single"/>
        </w:rPr>
        <w:t>Determination of Account Balances for Purposes of Distribution</w:t>
      </w:r>
      <w:r>
        <w:rPr>
          <w:rFonts w:ascii="Times New Roman;serif" w:hAnsi="Times New Roman;serif"/>
          <w:b w:val="false"/>
          <w:color w:val="000000"/>
          <w:sz w:val="24"/>
        </w:rPr>
        <w:t xml:space="preserve">. The amount of any distribution made pursuant to Section 4.1 shall be based on the balances in the Participant’s Account on the date the recordkeeper appointed by the Administrator transmits the distribution request for a Participant to the Administrator for payment and processing;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payment with respect to such distribution shall be made as soon as reasonably practicable following the date the distribution request is transmitted to the Administrator. For this purpose, the balance in a Participant’s Account shall be calculated by crediting income, gains and losses under the Other Investment Fund and Income Fund, as applicable, through the date immediately preceding the date on which the distribution request is transmitted from the recordkeeper.</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4.3. </w:t>
      </w:r>
      <w:r>
        <w:rPr>
          <w:rFonts w:ascii="Times New Roman;serif" w:hAnsi="Times New Roman;serif"/>
          <w:b w:val="false"/>
          <w:color w:val="000000"/>
          <w:sz w:val="24"/>
          <w:u w:val="single"/>
        </w:rPr>
        <w:t>Plan-to-Plan Transfers; Change in Time and Form of Election Pursuant to Special Section 409A Transition Rules</w:t>
      </w:r>
      <w:r>
        <w:rPr>
          <w:rFonts w:ascii="Times New Roman;serif" w:hAnsi="Times New Roman;serif"/>
          <w:b w:val="false"/>
          <w:color w:val="000000"/>
          <w:sz w:val="24"/>
        </w:rPr>
        <w:t>. The Administrator may delegate its authority to arrange for plan-to-plan transfers or to permit benefit elections as described in this Section 4.3 to an officer of the Company or committee of two or more officers of the Company.</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The Administrator may, with a Participant’s consent, make such arrangements as it may deem appropriate to assume another employer’s obligation to pay benefits with respect to such Participant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Participant, and the Account shall be subject to the rules of this Plan, as in effect from time to time.</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4.4. </w:t>
      </w:r>
      <w:r>
        <w:rPr>
          <w:rFonts w:ascii="Times New Roman;serif" w:hAnsi="Times New Roman;serif"/>
          <w:b w:val="false"/>
          <w:color w:val="000000"/>
          <w:sz w:val="24"/>
          <w:u w:val="single"/>
        </w:rPr>
        <w:t>Required Suspension of Payment of Benefits</w:t>
      </w:r>
      <w:r>
        <w:rPr>
          <w:rFonts w:ascii="Times New Roman;serif" w:hAnsi="Times New Roman;serif"/>
          <w:b w:val="false"/>
          <w:color w:val="000000"/>
          <w:sz w:val="24"/>
        </w:rPr>
        <w:t xml:space="preserve">. Notwithstanding any provision of the Plan or any Participant’s election as to the date or time of payment of any benefit payable under the Plan, to the extent compliance with the requirements of Treas. Reg. § 1.409A-3(i)(2) (or any successor provision) is necessary to avoid the application of an additional tax under Section 409A to payments due to the Participant upon or following his separation from service, then notwithstanding any other provision of this Plan, any such payments that are otherwise due within six months following the Participant’s separation from service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70890"/>
                <wp:effectExtent l="0" t="0" r="0" b="0"/>
                <wp:wrapNone/>
                <wp:docPr id="92" name="Frame91"/>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deferred and paid to the Participant in a lump sum immediately following that six-month period, or if earlier, upon such Participant’s death.</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4.5. </w:t>
      </w:r>
      <w:r>
        <w:rPr>
          <w:rFonts w:ascii="Times New Roman;serif" w:hAnsi="Times New Roman;serif"/>
          <w:b w:val="false"/>
          <w:color w:val="000000"/>
          <w:sz w:val="24"/>
          <w:u w:val="single"/>
        </w:rPr>
        <w:t>Most Recently Filed Initial Deferral Election, Regular Deferral Election, or Subsequent Deferral Election Controlling</w:t>
      </w:r>
      <w:r>
        <w:rPr>
          <w:rFonts w:ascii="Times New Roman;serif" w:hAnsi="Times New Roman;serif"/>
          <w:b w:val="false"/>
          <w:color w:val="000000"/>
          <w:sz w:val="24"/>
        </w:rPr>
        <w:t xml:space="preserve">. Except as otherwise specifically provided by the Plan, no distribution of the amounts deferred by a Participant shall be made before the payment date designated by the Participant on the most recently filed Initial Deferral Election, Regular Deferral Election, or Subsequent Deferral Election with respect to each deferred amount;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 Participant may elect distribution to commence on the earlier of the Participant’s death, “separation from service” (within the meaning of Section 409A) or the date otherwise specified pursuant to an Initial Deferral Election, a Regular Deferral Election, or a Subsequent Deferral Election.</w:t>
      </w:r>
    </w:p>
    <w:p>
      <w:pPr>
        <w:pStyle w:val="TextBody"/>
        <w:bidi w:val="0"/>
        <w:spacing w:lineRule="auto" w:line="240" w:before="0" w:after="240"/>
        <w:jc w:val="center"/>
        <w:rPr/>
      </w:pPr>
      <w:r>
        <w:rPr>
          <w:rFonts w:ascii="Times New Roman;serif" w:hAnsi="Times New Roman;serif"/>
          <w:b/>
          <w:color w:val="000000"/>
          <w:sz w:val="24"/>
        </w:rPr>
        <w:t>ARTICLE 5</w:t>
      </w:r>
      <w:r>
        <w:rPr>
          <w:color w:val="000000"/>
        </w:rPr>
        <w:t xml:space="preserve"> – </w:t>
      </w:r>
      <w:r>
        <w:rPr>
          <w:rFonts w:ascii="Times New Roman;serif" w:hAnsi="Times New Roman;serif"/>
          <w:b w:val="false"/>
          <w:color w:val="000000"/>
          <w:sz w:val="24"/>
        </w:rPr>
        <w:t>BOOK ACCOUNTS</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5.1. </w:t>
      </w:r>
      <w:r>
        <w:rPr>
          <w:rFonts w:ascii="Times New Roman;serif" w:hAnsi="Times New Roman;serif"/>
          <w:b w:val="false"/>
          <w:color w:val="000000"/>
          <w:sz w:val="24"/>
          <w:u w:val="single"/>
        </w:rPr>
        <w:t>Deferred Compensation Account</w:t>
      </w:r>
      <w:r>
        <w:rPr>
          <w:rFonts w:ascii="Times New Roman;serif" w:hAnsi="Times New Roman;serif"/>
          <w:b w:val="false"/>
          <w:color w:val="000000"/>
          <w:sz w:val="24"/>
        </w:rPr>
        <w:t>. A Deferred Compensation Account shall be established for each Non-Employee Director, Director Emeritus and Eligible Employee when such Non-Employee Director, Director Emeritus or Eligible Employee becomes a Participant. Compensation deferred pursuant to the Plan shall be credited to the Account on the date such Compensation would otherwise have been payable to the Participant. An RSU Account shall be established for each Participant who is an RSU Deferral Eligible Employee and who elects to defer the receipt of Shares issuable pursuant to an Award.</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5.2. </w:t>
      </w:r>
      <w:r>
        <w:rPr>
          <w:rFonts w:ascii="Times New Roman;serif" w:hAnsi="Times New Roman;serif"/>
          <w:b w:val="false"/>
          <w:color w:val="000000"/>
          <w:sz w:val="24"/>
          <w:u w:val="single"/>
        </w:rPr>
        <w:t>Crediting of Income, Gains and Losses on Accounts</w:t>
      </w:r>
      <w:r>
        <w:rPr>
          <w:rFonts w:ascii="Times New Roman;serif" w:hAnsi="Times New Roman;serif"/>
          <w:b w:val="false"/>
          <w:color w:val="000000"/>
          <w:sz w:val="24"/>
        </w:rPr>
        <w:t>. This Section 5.2 shall not apply to RSU Accounts, which are subject to Section 3.10.</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In General</w:t>
      </w:r>
      <w:r>
        <w:rPr>
          <w:rFonts w:ascii="Times New Roman;serif" w:hAnsi="Times New Roman;serif"/>
          <w:b w:val="false"/>
          <w:color w:val="000000"/>
          <w:sz w:val="24"/>
        </w:rPr>
        <w:t xml:space="preserve">. Except for amounts credited to the Accounts of Participants who are: </w:t>
      </w:r>
    </w:p>
    <w:p>
      <w:pPr>
        <w:pStyle w:val="TextBody"/>
        <w:bidi w:val="0"/>
        <w:spacing w:lineRule="auto" w:line="240" w:before="0" w:after="240"/>
        <w:ind w:left="0" w:right="0" w:firstLine="2880"/>
        <w:jc w:val="left"/>
        <w:rPr/>
      </w:pPr>
      <w:r>
        <w:rPr>
          <w:rFonts w:ascii="Times New Roman;serif" w:hAnsi="Times New Roman;serif"/>
          <w:b w:val="false"/>
          <w:color w:val="000000"/>
          <w:sz w:val="24"/>
        </w:rPr>
        <w:t>(i)</w:t>
      </w:r>
      <w:r>
        <w:rPr>
          <w:rFonts w:ascii="Times New Roman;serif" w:hAnsi="Times New Roman;serif"/>
          <w:b w:val="false"/>
          <w:color w:val="000000"/>
          <w:sz w:val="24"/>
        </w:rPr>
        <w:t>Non-Employee Directors who have elected to defer the receipt of Compensation payable in the form of Company Stock;</w:t>
      </w:r>
    </w:p>
    <w:p>
      <w:pPr>
        <w:pStyle w:val="TextBody"/>
        <w:bidi w:val="0"/>
        <w:spacing w:lineRule="auto" w:line="240" w:before="0" w:after="240"/>
        <w:ind w:left="0" w:right="0" w:firstLine="2880"/>
        <w:jc w:val="left"/>
        <w:rPr/>
      </w:pPr>
      <w:r>
        <w:rPr>
          <w:rFonts w:ascii="Times New Roman;serif" w:hAnsi="Times New Roman;serif"/>
          <w:b w:val="false"/>
          <w:color w:val="000000"/>
          <w:sz w:val="24"/>
        </w:rPr>
        <w:t>(ii)</w:t>
      </w:r>
      <w:r>
        <w:rPr>
          <w:rFonts w:ascii="Times New Roman;serif" w:hAnsi="Times New Roman;serif"/>
          <w:b w:val="false"/>
          <w:color w:val="000000"/>
          <w:sz w:val="24"/>
        </w:rPr>
        <w:t>Non-Employee Directors whose Account has been credited to an Other Investment Fund pursuant to Section 5.2(b)(1)(B)(3);</w:t>
      </w:r>
    </w:p>
    <w:p>
      <w:pPr>
        <w:pStyle w:val="TextBody"/>
        <w:bidi w:val="0"/>
        <w:spacing w:lineRule="auto" w:line="240" w:before="0" w:after="240"/>
        <w:ind w:left="0" w:right="0" w:firstLine="2880"/>
        <w:jc w:val="left"/>
        <w:rPr/>
      </w:pPr>
      <w:r>
        <w:rPr>
          <w:rFonts w:ascii="Times New Roman;serif" w:hAnsi="Times New Roman;serif"/>
          <w:b w:val="false"/>
          <w:color w:val="000000"/>
          <w:sz w:val="24"/>
        </w:rPr>
        <w:t>(iii)</w:t>
      </w:r>
      <w:r>
        <w:rPr>
          <w:rFonts w:ascii="Times New Roman;serif" w:hAnsi="Times New Roman;serif"/>
          <w:b w:val="false"/>
          <w:color w:val="000000"/>
          <w:sz w:val="24"/>
        </w:rPr>
        <w:t xml:space="preserve">Covered Participants whose Account has been credited to an Other Investment Fund pursuant to Section 5.2(b)(1)(B)(4); </w:t>
      </w:r>
    </w:p>
    <w:p>
      <w:pPr>
        <w:pStyle w:val="TextBody"/>
        <w:bidi w:val="0"/>
        <w:spacing w:lineRule="auto" w:line="240" w:before="0" w:after="240"/>
        <w:ind w:left="0" w:right="0" w:firstLine="2880"/>
        <w:jc w:val="left"/>
        <w:rPr/>
      </w:pPr>
      <w:r>
        <w:rPr>
          <w:rFonts w:ascii="Times New Roman;serif" w:hAnsi="Times New Roman;serif"/>
          <w:b w:val="false"/>
          <w:color w:val="000000"/>
          <w:sz w:val="24"/>
        </w:rPr>
        <w:t>(iv)</w:t>
      </w:r>
      <w:r>
        <w:rPr>
          <w:rFonts w:ascii="Times New Roman;serif" w:hAnsi="Times New Roman;serif"/>
          <w:b w:val="false"/>
          <w:color w:val="000000"/>
          <w:sz w:val="24"/>
        </w:rPr>
        <w:t xml:space="preserve">Participants subject to the Income Fund Limit; </w:t>
      </w:r>
    </w:p>
    <w:p>
      <w:pPr>
        <w:pStyle w:val="TextBody"/>
        <w:bidi w:val="0"/>
        <w:spacing w:lineRule="auto" w:line="240" w:before="0" w:after="240"/>
        <w:ind w:left="0" w:right="0" w:firstLine="2880"/>
        <w:jc w:val="left"/>
        <w:rPr/>
      </w:pPr>
      <w:r>
        <w:rPr>
          <w:rFonts w:ascii="Times New Roman;serif" w:hAnsi="Times New Roman;serif"/>
          <w:b w:val="false"/>
          <w:color w:val="000000"/>
          <w:sz w:val="24"/>
        </w:rPr>
        <w:t>(v)</w:t>
      </w:r>
      <w:r>
        <w:rPr>
          <w:rFonts w:ascii="Times New Roman;serif" w:hAnsi="Times New Roman;serif"/>
          <w:b w:val="false"/>
          <w:color w:val="000000"/>
          <w:sz w:val="24"/>
        </w:rPr>
        <w:t>Section 16 Officers who, pursuant to rules established by the Administrator, have elected to transfer amounts credited to their Accounts that are deemed to be invested in the Income Fund to an Other Investment Fund; and</w:t>
      </w:r>
    </w:p>
    <w:p>
      <w:pPr>
        <w:pStyle w:val="TextBody"/>
        <w:bidi w:val="0"/>
        <w:spacing w:lineRule="auto" w:line="240" w:before="0" w:after="240"/>
        <w:ind w:left="0" w:right="0" w:firstLine="2880"/>
        <w:jc w:val="left"/>
        <w:rPr/>
      </w:pPr>
      <w:r>
        <w:rPr>
          <w:rFonts w:ascii="Times New Roman;serif" w:hAnsi="Times New Roman;serif"/>
          <w:b w:val="false"/>
          <w:color w:val="000000"/>
          <w:sz w:val="24"/>
        </w:rPr>
        <w:t>(vi)</w:t>
      </w:r>
      <w:r>
        <w:rPr>
          <w:rFonts w:ascii="Times New Roman;serif" w:hAnsi="Times New Roman;serif"/>
          <w:b w:val="false"/>
          <w:color w:val="000000"/>
          <w:sz w:val="24"/>
        </w:rPr>
        <w:t>Non-Employee Directors and Section 16 Officers, with respect to amounts subject to Subsequent Deferral Elections permitted to be made after their termination of service;</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all amounts credited to Participants’ Accounts shall be credited with income, gains and losses as if they were invested in the Income Fund.</w:t>
      </w:r>
    </w:p>
    <w:p>
      <w:pPr>
        <w:pStyle w:val="TextBody"/>
        <w:bidi w:val="0"/>
        <w:spacing w:before="0" w:after="0"/>
        <w:jc w:val="left"/>
        <w:rPr/>
      </w:pPr>
      <w:r>
        <w:rPr/>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u w:val="single"/>
        </w:rPr>
        <w:t>Crediting of Income, Gains and Losses on Accounts Subject to Investment Restrictions</w:t>
      </w:r>
      <w:r>
        <w:rPr>
          <w:rFonts w:ascii="Times New Roman;serif" w:hAnsi="Times New Roman;serif"/>
          <w:b w:val="false"/>
          <w:color w:val="000000"/>
          <w:sz w:val="24"/>
        </w:rPr>
        <w:t xml:space="preserve">. The Administrator may establish rules from time to time to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70890"/>
                <wp:effectExtent l="0" t="0" r="0" b="0"/>
                <wp:wrapNone/>
                <wp:docPr id="93" name="Frame92"/>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limit the frequency with which Participants may change the direction of deemed investments that are credited to such Participants’ Accounts.</w:t>
      </w:r>
    </w:p>
    <w:p>
      <w:pPr>
        <w:pStyle w:val="TextBody"/>
        <w:bidi w:val="0"/>
        <w:spacing w:lineRule="auto" w:line="240" w:before="0" w:after="240"/>
        <w:ind w:left="0" w:right="0" w:firstLine="2880"/>
        <w:jc w:val="left"/>
        <w:rPr/>
      </w:pPr>
      <w:r>
        <w:rPr>
          <w:rFonts w:ascii="Times New Roman;serif" w:hAnsi="Times New Roman;serif"/>
          <w:b w:val="false"/>
          <w:color w:val="000000"/>
          <w:sz w:val="24"/>
        </w:rPr>
        <w:t>(i)</w:t>
      </w:r>
      <w:r>
        <w:rPr>
          <w:rFonts w:ascii="Times New Roman;serif" w:hAnsi="Times New Roman;serif"/>
          <w:b w:val="false"/>
          <w:color w:val="000000"/>
          <w:sz w:val="24"/>
          <w:u w:val="single"/>
        </w:rPr>
        <w:t>Credits to Other Investment Funds</w:t>
      </w:r>
      <w:r>
        <w:rPr>
          <w:rFonts w:ascii="Times New Roman;serif" w:hAnsi="Times New Roman;serif"/>
          <w:b w:val="false"/>
          <w:color w:val="000000"/>
          <w:sz w:val="24"/>
        </w:rPr>
        <w:t xml:space="preserve">. </w:t>
      </w:r>
    </w:p>
    <w:p>
      <w:pPr>
        <w:pStyle w:val="TextBody"/>
        <w:bidi w:val="0"/>
        <w:spacing w:lineRule="auto" w:line="240" w:before="0" w:after="240"/>
        <w:ind w:left="0" w:right="0" w:firstLine="432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Post-Termination Elections</w:t>
      </w:r>
      <w:r>
        <w:rPr>
          <w:rFonts w:ascii="Times New Roman;serif" w:hAnsi="Times New Roman;serif"/>
          <w:b w:val="false"/>
          <w:color w:val="000000"/>
          <w:sz w:val="24"/>
        </w:rPr>
        <w:t>. The Accounts of Non-Employee Directors and Section 16 Officers whose Subsequent Deferral Elections are made after their termination of service in accordance with Section 3.5(a) shall be credited to an Other Investment Fund.</w:t>
      </w:r>
    </w:p>
    <w:p>
      <w:pPr>
        <w:pStyle w:val="TextBody"/>
        <w:bidi w:val="0"/>
        <w:spacing w:lineRule="auto" w:line="240" w:before="0" w:after="240"/>
        <w:ind w:left="0" w:right="0" w:firstLine="432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Participants Whose Income Fund Exceeds the Income Fund Limit</w:t>
      </w:r>
      <w:r>
        <w:rPr>
          <w:rFonts w:ascii="Times New Roman;serif" w:hAnsi="Times New Roman;serif"/>
          <w:b w:val="false"/>
          <w:color w:val="000000"/>
          <w:sz w:val="24"/>
        </w:rPr>
        <w:t>.</w:t>
      </w:r>
    </w:p>
    <w:p>
      <w:pPr>
        <w:pStyle w:val="TextBody"/>
        <w:bidi w:val="0"/>
        <w:spacing w:lineRule="auto" w:line="240" w:before="0" w:after="240"/>
        <w:ind w:left="0" w:right="0" w:firstLine="504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Subsequent Deferral Election</w:t>
      </w:r>
      <w:r>
        <w:rPr>
          <w:rFonts w:ascii="Times New Roman;serif" w:hAnsi="Times New Roman;serif"/>
          <w:b w:val="false"/>
          <w:color w:val="000000"/>
          <w:sz w:val="24"/>
        </w:rPr>
        <w:t>. Amounts subject to a Subsequent Deferral Election that takes effect when the amount credited to the Income Fund with respect to a Participant exceeds $100 million shall be deemed invested in an Other Investment Fund.</w:t>
      </w:r>
    </w:p>
    <w:p>
      <w:pPr>
        <w:pStyle w:val="TextBody"/>
        <w:bidi w:val="0"/>
        <w:spacing w:lineRule="auto" w:line="240" w:before="0" w:after="240"/>
        <w:ind w:left="0" w:right="0" w:firstLine="504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Year-End Adjustments</w:t>
      </w:r>
      <w:r>
        <w:rPr>
          <w:rFonts w:ascii="Times New Roman;serif" w:hAnsi="Times New Roman;serif"/>
          <w:b w:val="false"/>
          <w:color w:val="000000"/>
          <w:sz w:val="24"/>
        </w:rPr>
        <w:t xml:space="preserve">. Except with respect to Participants who are subject to Section 5.2(b)(i)(B)(3) or Section 5.2(b)(i)(B)(4), if the amount credited to the Income Fund with respect to a Participant exceeds $100 million as of the last day of a Plan Year, the lesser of (x) the amount credited to the Income Fund with respect to such Participant for such Plan Year or (y) the excess of (I) the amount credited to the Income Fund with respect to such Participant as of the last day of such Plan Year </w:t>
      </w:r>
      <w:r>
        <w:rPr>
          <w:rFonts w:ascii="Times New Roman;serif" w:hAnsi="Times New Roman;serif"/>
          <w:b w:val="false"/>
          <w:i/>
          <w:color w:val="000000"/>
          <w:sz w:val="24"/>
        </w:rPr>
        <w:t>over</w:t>
      </w:r>
      <w:r>
        <w:rPr>
          <w:color w:val="000000"/>
        </w:rPr>
        <w:t xml:space="preserve"> </w:t>
      </w:r>
      <w:r>
        <w:rPr>
          <w:rFonts w:ascii="Times New Roman;serif" w:hAnsi="Times New Roman;serif"/>
          <w:b w:val="false"/>
          <w:color w:val="000000"/>
          <w:sz w:val="24"/>
        </w:rPr>
        <w:t>(II) $100 million shall be transferred to an Other Investment Fund as of such last day.</w:t>
      </w:r>
    </w:p>
    <w:p>
      <w:pPr>
        <w:pStyle w:val="TextBody"/>
        <w:bidi w:val="0"/>
        <w:spacing w:lineRule="auto" w:line="240" w:before="0" w:after="240"/>
        <w:ind w:left="0" w:right="0" w:firstLine="504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Non-Employee Directors</w:t>
      </w:r>
      <w:r>
        <w:rPr>
          <w:rFonts w:ascii="Times New Roman;serif" w:hAnsi="Times New Roman;serif"/>
          <w:b w:val="false"/>
          <w:color w:val="000000"/>
          <w:sz w:val="24"/>
        </w:rPr>
        <w:t>. If a Non-Employee Director’s Income Fund exceeds the Income Fund Limit, the amount credited to the Non-Employee Director’s Income Fund shall be transferred to an Other Investment Fund and all amounts credited to the Non-Employee Director’s Account on and after such date shall be deemed invested in an Other Investment Fund. The amount credited to the Income Fund with respect to an individual who has an Account under the Plan and who becomes a Non-Employee Director after shall be transferred to an Other Investment Fund as of the first day of the month next following the date such individual becomes a Non-Employee Director, and all amounts credited to the Non-Employee Director’s Account on and after such date shall be deemed invested in an Other Investment Fund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Non-Employee Director has consented to waive his or her rights with respect to (i) the Applicable Interest Rate applicable to such Non-Employee Director’s Account (including the Protected Account Balance) for purposes of any current or future Initial Deferral Elections, Regular Deferral Elections, and Subsequent Deferral Elections while such individual is a Non-Employee Director and (ii) the application of Section 10.2 to such Non-Employee Director’s Account).</w:t>
      </w:r>
    </w:p>
    <w:p>
      <w:pPr>
        <w:pStyle w:val="TextBody"/>
        <w:bidi w:val="0"/>
        <w:spacing w:lineRule="auto" w:line="240" w:before="0" w:after="240"/>
        <w:ind w:left="0" w:right="0" w:firstLine="504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Covered Participants</w:t>
      </w:r>
      <w:r>
        <w:rPr>
          <w:rFonts w:ascii="Times New Roman;serif" w:hAnsi="Times New Roman;serif"/>
          <w:b w:val="false"/>
          <w:color w:val="000000"/>
          <w:sz w:val="24"/>
        </w:rPr>
        <w:t xml:space="preserve">. If a Covered Participant’s Income Fund exceeds the Income Fund Limit, the amount credited to the Covered Participant’s Income Fund shall be transferred to an Other Investment Fund and all amounts credited to the Covered Participant’s Account on and after such date shall be deemed invested in an Other Investment Fund. The amount credited to the Income Fund with respect to an individual who has an Account under the Plan and who becomes a Covered Participant shall be transferred to an Other Investment Fund as of the first day of the month next following the date such individual becomes a Covered Participant, and all amounts credited to the Covered Participant’s Account on and after such date shall be deemed invested in an Other Investment Fund for purposes of any current or future Initial Deferral Elections, Regular Deferral Elections,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70890"/>
                <wp:effectExtent l="0" t="0" r="0" b="0"/>
                <wp:wrapNone/>
                <wp:docPr id="94" name="Frame93"/>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and Subsequent Deferral Elections while such individual is a Covered Participant and (ii) the application of Section 10.2 to such Covered Participant’s Account).</w:t>
      </w:r>
    </w:p>
    <w:p>
      <w:pPr>
        <w:pStyle w:val="TextBody"/>
        <w:bidi w:val="0"/>
        <w:spacing w:lineRule="auto" w:line="240" w:before="0" w:after="240"/>
        <w:ind w:left="0" w:right="0" w:firstLine="432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Section 16 Officers</w:t>
      </w:r>
      <w:r>
        <w:rPr>
          <w:rFonts w:ascii="Times New Roman;serif" w:hAnsi="Times New Roman;serif"/>
          <w:b w:val="false"/>
          <w:color w:val="000000"/>
          <w:sz w:val="24"/>
        </w:rPr>
        <w:t xml:space="preserve">. Pursuant to rules established by the Administrator, a Section 16 Officer may elect to (x) transfer amounts credited to such Section 16 Officer’s Account that are deemed to be invested in the Income Fund to an Other Investment Fund, (y) transfer amounts credited to such Account from an Other Investment Fund to a different Other Investment Fund, or (z) transfer amounts credited to such Account that are deemed to be invested in an Other Investment Fund to the Income Fund to the extent that immediately after such transfer, the amount credited to such Section 16 Officer’s Income Fund does not exceed the Income Fund Limit. </w:t>
      </w:r>
    </w:p>
    <w:p>
      <w:pPr>
        <w:pStyle w:val="TextBody"/>
        <w:bidi w:val="0"/>
        <w:spacing w:lineRule="auto" w:line="240" w:before="0" w:after="240"/>
        <w:ind w:left="0" w:right="0" w:firstLine="2880"/>
        <w:jc w:val="left"/>
        <w:rPr/>
      </w:pPr>
      <w:r>
        <w:rPr>
          <w:rFonts w:ascii="Times New Roman;serif" w:hAnsi="Times New Roman;serif"/>
          <w:b w:val="false"/>
          <w:color w:val="000000"/>
          <w:sz w:val="24"/>
        </w:rPr>
        <w:t>(ii)</w:t>
      </w:r>
      <w:r>
        <w:rPr>
          <w:rFonts w:ascii="Times New Roman;serif" w:hAnsi="Times New Roman;serif"/>
          <w:b w:val="false"/>
          <w:color w:val="000000"/>
          <w:sz w:val="24"/>
          <w:u w:val="single"/>
        </w:rPr>
        <w:t>Protocol for Deemed Transfers between Income Fund and an Other Investment Fund</w:t>
      </w:r>
      <w:r>
        <w:rPr>
          <w:rFonts w:ascii="Times New Roman;serif" w:hAnsi="Times New Roman;serif"/>
          <w:b w:val="false"/>
          <w:color w:val="000000"/>
          <w:sz w:val="24"/>
        </w:rPr>
        <w:t xml:space="preserve">. As provided in Article 3, the timing of distributions of amounts credited to a Participant’s Account is established pursuant to Initial Deferral Elections, Regular Deferral Elections, and Subsequent Deferral Elections, and a Participant may elect various distribution dates for amounts subject to Initial Deferral Elections, Regular Deferral Elections, and Subsequent Deferral Elections. Amounts deemed transferred from the Income Fund to Other Investment Funds as a result of the application of the Income Fund Limit or pursuant to elective transfers described in Section 5.2(b)(i)(C), and amounts deemed transferred from an Other Investment Fund to the Income Fund pursuant to elective transfers described in Section 5.2(b)(i)(C) shall be sourced and allocated on a uniform and consistent basis as determined by the Administrator;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amounts transferred among Funds, and any income, gains or losses credited with respect to such transferred amounts, shall continue to be subject to the distribution timing and manner of distribution election to which such amounts were subject immediately before the deemed transfer. </w:t>
      </w:r>
    </w:p>
    <w:p>
      <w:pPr>
        <w:pStyle w:val="TextBody"/>
        <w:bidi w:val="0"/>
        <w:spacing w:lineRule="auto" w:line="240" w:before="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Stock Fund Credits</w:t>
      </w:r>
      <w:r>
        <w:rPr>
          <w:rFonts w:ascii="Times New Roman;serif" w:hAnsi="Times New Roman;serif"/>
          <w:b w:val="false"/>
          <w:color w:val="000000"/>
          <w:sz w:val="24"/>
        </w:rPr>
        <w:t>. Amounts credited to the Accounts of Non-Employee Directors, Covered Participants, and High Balance Participants in the form of Company Stock shall be credited with income, gains and losses as if they were invested in the Company Stock Fund. Except as otherwise provided with respect to Section 16 Officers pursuant to Section 5.2(b)(i)(C) or by the Administrator with respect to Participants who are not Section 16 Officers, no portion of such Participant’s Account may be deemed transferred from the Company Stock Fund to the Income Fund or to an Other Investment Fund. Amounts credited in the form of Company Stock at the time of distribution to the Accounts of (i) Non-Employee Directors and (ii) Participants under circumstances described in Section 5.2(a)(vi) shall be distributed in the form of Company Stock, rounded to the next lower whole share.</w:t>
      </w:r>
    </w:p>
    <w:p>
      <w:pPr>
        <w:pStyle w:val="TextBody"/>
        <w:bidi w:val="0"/>
        <w:spacing w:lineRule="auto" w:line="240" w:before="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Timing of Credits</w:t>
      </w:r>
      <w:r>
        <w:rPr>
          <w:rFonts w:ascii="Times New Roman;serif" w:hAnsi="Times New Roman;serif"/>
          <w:b w:val="false"/>
          <w:color w:val="000000"/>
          <w:sz w:val="24"/>
        </w:rPr>
        <w:t xml:space="preserve">. Except as otherwise provided in this Section 5.2, Compensation deferred pursuant to the Plan shall be deemed invested in the Income Fund on the date such Compensation would otherwise have been payable to the Participant;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(i) Compensation would otherwise have been payable to a Participant on a Company payroll date that falls within five (5) days of the end of a calendar month, and (ii) based on the Administrator’s regular administrative practices, it is not administratively practicable for the Administrator to transmit the deferred amount of such Compensation to the Plan’s recordkeeper on or before the last day of the month, such deferred amount shall not be deemed invested in the Income Fund until the first day of the calendar month next following such Company payroll date. Accumulated Account balances subject to an investment fund election under Section 5.2(b) shall be deemed invested in the applicable investment fund as of the effective date of such election. The value of amounts deemed invested in an Other Investment Fund shall be based on hypothetical purchases and sales of such Other Investment Fund at Fair Market Value as of the effective date of the applicable investment election.</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70890"/>
                <wp:effectExtent l="0" t="0" r="0" b="0"/>
                <wp:wrapNone/>
                <wp:docPr id="95" name="Frame94"/>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5.3. </w:t>
      </w:r>
      <w:r>
        <w:rPr>
          <w:rFonts w:ascii="Times New Roman;serif" w:hAnsi="Times New Roman;serif"/>
          <w:b w:val="false"/>
          <w:color w:val="000000"/>
          <w:sz w:val="24"/>
          <w:u w:val="single"/>
        </w:rPr>
        <w:t>Status of Deferred Amounts</w:t>
      </w:r>
      <w:r>
        <w:rPr>
          <w:rFonts w:ascii="Times New Roman;serif" w:hAnsi="Times New Roman;serif"/>
          <w:b w:val="false"/>
          <w:color w:val="000000"/>
          <w:sz w:val="24"/>
        </w:rPr>
        <w:t>. Regardless of whether or not the Company is a Participant’s employer, all Compensation deferred under this Plan shall continue for all purposes to be a part of the general funds of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5.4. </w:t>
      </w:r>
      <w:r>
        <w:rPr>
          <w:rFonts w:ascii="Times New Roman;serif" w:hAnsi="Times New Roman;serif"/>
          <w:b w:val="false"/>
          <w:color w:val="000000"/>
          <w:sz w:val="24"/>
          <w:u w:val="single"/>
        </w:rPr>
        <w:t>Participants’ Status as General Creditors</w:t>
      </w:r>
      <w:r>
        <w:rPr>
          <w:rFonts w:ascii="Times New Roman;serif" w:hAnsi="Times New Roman;serif"/>
          <w:b w:val="false"/>
          <w:color w:val="000000"/>
          <w:sz w:val="24"/>
        </w:rPr>
        <w:t>. Regardless of whether or not the Company is a Participant’s employer, an Account (including an RSU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pStyle w:val="TextBody"/>
        <w:bidi w:val="0"/>
        <w:spacing w:lineRule="auto" w:line="240" w:before="0" w:after="240"/>
        <w:jc w:val="center"/>
        <w:rPr/>
      </w:pPr>
      <w:r>
        <w:rPr>
          <w:rFonts w:ascii="Times New Roman;serif" w:hAnsi="Times New Roman;serif"/>
          <w:b/>
          <w:color w:val="000000"/>
          <w:sz w:val="24"/>
        </w:rPr>
        <w:t>ARTICLE 6</w:t>
      </w:r>
      <w:r>
        <w:rPr>
          <w:color w:val="000000"/>
        </w:rPr>
        <w:t xml:space="preserve"> – </w:t>
      </w:r>
      <w:r>
        <w:rPr>
          <w:rFonts w:ascii="Times New Roman;serif" w:hAnsi="Times New Roman;serif"/>
          <w:b w:val="false"/>
          <w:color w:val="000000"/>
          <w:sz w:val="24"/>
        </w:rPr>
        <w:t>NO ALIENATION OF BENEFITS; PAYEE DESIGNATION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6.1. </w:t>
      </w:r>
      <w:r>
        <w:rPr>
          <w:rFonts w:ascii="Times New Roman;serif" w:hAnsi="Times New Roman;serif"/>
          <w:b w:val="false"/>
          <w:color w:val="000000"/>
          <w:sz w:val="24"/>
          <w:u w:val="single"/>
        </w:rPr>
        <w:t>Non-Alienation</w:t>
      </w:r>
      <w:r>
        <w:rPr>
          <w:rFonts w:ascii="Times New Roman;serif" w:hAnsi="Times New Roman;serif"/>
          <w:b w:val="false"/>
          <w:color w:val="000000"/>
          <w:sz w:val="24"/>
        </w:rPr>
        <w:t xml:space="preserve">. Except as otherwise required by applicable law, or as provided by Section 6.2,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a Participant may, with the Administrator’s consent and subject to such procedures and verification requirements as the Administrator may require from time to time, transfer the balances in his or her Account to a grantor trust established by the Participant that is disregarded for federal income tax purposes, under the condition that such balances may not be subsequently deferred following such transfer. </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6.2. </w:t>
      </w:r>
      <w:r>
        <w:rPr>
          <w:rFonts w:ascii="Times New Roman;serif" w:hAnsi="Times New Roman;serif"/>
          <w:b w:val="false"/>
          <w:color w:val="000000"/>
          <w:sz w:val="24"/>
          <w:u w:val="single"/>
        </w:rPr>
        <w:t>Domestic Relations Orders</w:t>
      </w:r>
      <w:r>
        <w:rPr>
          <w:rFonts w:ascii="Times New Roman;serif" w:hAnsi="Times New Roman;serif"/>
          <w:b w:val="false"/>
          <w:color w:val="000000"/>
          <w:sz w:val="24"/>
        </w:rPr>
        <w:t xml:space="preserve">. Notwithstanding any other provision of the Plan or the terms of any Initial Deferral Election, Regular Deferral Election, or Subsequent Deferral Election, the Plan shall honor the terms of a Domestic Relations Order if the Administrator determines that it satisfies the requirements of the Plan’s policies relating to Domestic Relations Orders as in effect from time to time;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a Domestic Relations Order shall not be honored unless (i) it provides for payment of all or a portion of a Participant’s Account under the Plan to the Participant’s spouse or former spouse and (ii) it provides for such payment in the form of a single cash lump sum that is payable as soon as administratively practicable following the determination that the Domestic Relations Order meets the conditions for approval.</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6.3. </w:t>
      </w:r>
      <w:r>
        <w:rPr>
          <w:rFonts w:ascii="Times New Roman;serif" w:hAnsi="Times New Roman;serif"/>
          <w:b w:val="false"/>
          <w:color w:val="000000"/>
          <w:sz w:val="24"/>
          <w:u w:val="single"/>
        </w:rPr>
        <w:t>Payee Designation</w:t>
      </w:r>
      <w:r>
        <w:rPr>
          <w:rFonts w:ascii="Times New Roman;serif" w:hAnsi="Times New Roman;serif"/>
          <w:b w:val="false"/>
          <w:color w:val="000000"/>
          <w:sz w:val="24"/>
        </w:rPr>
        <w:t xml:space="preserve">. Subject to the terms and conditions of the Plan, a Participant or Beneficiary may direct that any amount payable pursuant to an Initial Deferral Election, Regular Deferral Election, or a Subsequent Deferral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 </w:t>
      </w:r>
    </w:p>
    <w:p>
      <w:pPr>
        <w:pStyle w:val="TextBody"/>
        <w:bidi w:val="0"/>
        <w:spacing w:lineRule="auto" w:line="240" w:before="0" w:after="240"/>
        <w:jc w:val="center"/>
        <w:rPr/>
      </w:pPr>
      <w:r>
        <w:rPr>
          <w:rFonts w:ascii="Times New Roman;serif" w:hAnsi="Times New Roman;serif"/>
          <w:b/>
          <w:color w:val="000000"/>
          <w:sz w:val="24"/>
        </w:rPr>
        <w:t>ARTICLE 7</w:t>
      </w:r>
      <w:r>
        <w:rPr>
          <w:color w:val="000000"/>
        </w:rPr>
        <w:t xml:space="preserve"> – </w:t>
      </w:r>
      <w:r>
        <w:rPr>
          <w:rFonts w:ascii="Times New Roman;serif" w:hAnsi="Times New Roman;serif"/>
          <w:b/>
          <w:color w:val="000000"/>
          <w:sz w:val="24"/>
        </w:rPr>
        <w:t>DEATH OF PARTICIPANT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7.1. </w:t>
      </w:r>
      <w:r>
        <w:rPr>
          <w:rFonts w:ascii="Times New Roman;serif" w:hAnsi="Times New Roman;serif"/>
          <w:b w:val="false"/>
          <w:color w:val="000000"/>
          <w:sz w:val="24"/>
          <w:u w:val="single"/>
        </w:rPr>
        <w:t>Death of Participant</w:t>
      </w:r>
      <w:r>
        <w:rPr>
          <w:rFonts w:ascii="Times New Roman;serif" w:hAnsi="Times New Roman;serif"/>
          <w:b w:val="false"/>
          <w:color w:val="000000"/>
          <w:sz w:val="24"/>
        </w:rPr>
        <w:t xml:space="preserve">. Except as otherwise provided in Sections 3.5 and 4.1(b), a Deceased Participant’s Account shall be distributed in accordance with the last Initial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70890"/>
                <wp:effectExtent l="0" t="0" r="0" b="0"/>
                <wp:wrapNone/>
                <wp:docPr id="96" name="Frame95"/>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Deferral Election, Regular Deferral Election, or Subsequent Deferral Election made by the Deceased Participant before the Deceased Participant’s death.</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7.2. </w:t>
      </w:r>
      <w:r>
        <w:rPr>
          <w:rFonts w:ascii="Times New Roman;serif" w:hAnsi="Times New Roman;serif"/>
          <w:b w:val="false"/>
          <w:color w:val="000000"/>
          <w:sz w:val="24"/>
          <w:u w:val="single"/>
        </w:rPr>
        <w:t>Designation of Beneficiaries</w:t>
      </w:r>
      <w:r>
        <w:rPr>
          <w:rFonts w:ascii="Times New Roman;serif" w:hAnsi="Times New Roman;serif"/>
          <w:b w:val="false"/>
          <w:color w:val="000000"/>
          <w:sz w:val="24"/>
        </w:rPr>
        <w:t>. Each Participant (and Beneficiary) shall have the right to designate one or more Beneficiaries to receive distributions in the event of the Participant’s (or Beneficiary’s) death by filing with the Administrator a Beneficiary designation on a form that may be prescribed by the Administrator for such purpose from time to time. The designation of a Beneficiary or Beneficiaries may be changed by a Participant (or Beneficiary) at any time prior to such Participant’s (or Beneficiary’s) death by the delivery to the Administrator of a new Beneficiary designation form. The Administrator may require that only the Beneficiary or Beneficiaries identified on the Beneficiary designation form prescribed by the Administrator be recognized as a Participant’s (or Beneficiary’s) Beneficiary or Beneficiaries under the Plan, and that absent the completion of the currently prescribed Beneficiary designation form, the Participants (or Beneficiary’s) Beneficiary designation shall be the Participant’s (or Beneficiary’s) estate. If a Participant designates more than one person or entity as Beneficiary and one or more (but less than all) of the designated Beneficiaries dies before the Participant, such Beneficiary’s portion shall be distributed pro-rata to the surviving Beneficiaries.</w:t>
      </w:r>
    </w:p>
    <w:p>
      <w:pPr>
        <w:pStyle w:val="TextBody"/>
        <w:bidi w:val="0"/>
        <w:spacing w:lineRule="auto" w:line="240" w:before="0" w:after="240"/>
        <w:jc w:val="center"/>
        <w:rPr/>
      </w:pPr>
      <w:r>
        <w:rPr>
          <w:rFonts w:ascii="Times New Roman;serif" w:hAnsi="Times New Roman;serif"/>
          <w:b/>
          <w:color w:val="000000"/>
          <w:sz w:val="24"/>
        </w:rPr>
        <w:t>ARTICLE 8</w:t>
      </w:r>
      <w:r>
        <w:rPr>
          <w:color w:val="000000"/>
        </w:rPr>
        <w:t xml:space="preserve"> – </w:t>
      </w:r>
      <w:r>
        <w:rPr>
          <w:rFonts w:ascii="Times New Roman;serif" w:hAnsi="Times New Roman;serif"/>
          <w:b/>
          <w:color w:val="000000"/>
          <w:sz w:val="24"/>
        </w:rPr>
        <w:t>HARDSHIP, OTHER ACCELERATION EVENTS, AND CLAWBACKS</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8.1. </w:t>
      </w:r>
      <w:r>
        <w:rPr>
          <w:rFonts w:ascii="Times New Roman;serif" w:hAnsi="Times New Roman;serif"/>
          <w:b w:val="false"/>
          <w:color w:val="000000"/>
          <w:sz w:val="24"/>
          <w:u w:val="single"/>
        </w:rPr>
        <w:t>Hardship</w:t>
      </w:r>
      <w:r>
        <w:rPr>
          <w:rFonts w:ascii="Times New Roman;serif" w:hAnsi="Times New Roman;serif"/>
          <w:b w:val="false"/>
          <w:color w:val="000000"/>
          <w:sz w:val="24"/>
        </w:rPr>
        <w:t>. Notwithstanding the terms of an Initial Deferral Election, Regular Deferral Election, or Subsequent Deferral Election, if, at the Participant’s request, the Administrator determines that the Participant has incurred a Hardship, the Administrator may, in its discretion, authorize the immediate distribution of all or any portion of the Participant’s Account.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8.2. </w:t>
      </w:r>
      <w:r>
        <w:rPr>
          <w:rFonts w:ascii="Times New Roman;serif" w:hAnsi="Times New Roman;serif"/>
          <w:b w:val="false"/>
          <w:color w:val="000000"/>
          <w:sz w:val="24"/>
          <w:u w:val="single"/>
        </w:rPr>
        <w:t>Other Acceleration Events</w:t>
      </w:r>
      <w:r>
        <w:rPr>
          <w:rFonts w:ascii="Times New Roman;serif" w:hAnsi="Times New Roman;serif"/>
          <w:b w:val="false"/>
          <w:color w:val="000000"/>
          <w:sz w:val="24"/>
        </w:rPr>
        <w:t>. To the extent permitted by Section 409A, notwithstanding the terms of an Initial Deferral Election, Regular Deferral Election, or Subsequent Deferral Election, distribution of all or part of a Participant’s Account may be made:</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To fulfill a Domestic Relations Order in accordance with Section 6.2;</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To the extent necessary to comply with laws relating to avoidance of conflicts of interest, as provided in Treasury Regulation § 1.409A-3(j)(4)(iii) (or any successor provision of law);</w: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color w:val="000000"/>
        </w:rPr>
        <w:t xml:space="preserve">     </w:t>
      </w:r>
      <w:r>
        <w:rPr>
          <w:rFonts w:ascii="Times New Roman;serif" w:hAnsi="Times New Roman;serif"/>
          <w:b w:val="false"/>
          <w:color w:val="000000"/>
          <w:sz w:val="24"/>
        </w:rPr>
        <w:t>To pay employment taxes to the extent permitted by Treasury Regulation § 1.409A-3(j)(4)(vi) (or any successor provision of law);</w:t>
      </w:r>
    </w:p>
    <w:p>
      <w:pPr>
        <w:pStyle w:val="TextBody"/>
        <w:bidi w:val="0"/>
        <w:spacing w:lineRule="auto" w:line="240"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In connection with the recognition of income as the result of a failure to comply with Section 409A, to the extent permitted by Treasury Regulation § 1.409A-3(j)(4)(vii) (or any successor provision of law);</w:t>
      </w:r>
    </w:p>
    <w:p>
      <w:pPr>
        <w:pStyle w:val="TextBody"/>
        <w:bidi w:val="0"/>
        <w:spacing w:lineRule="auto" w:line="240" w:before="0" w:after="240"/>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4"/>
        </w:rPr>
        <w:t>To pay state, local or foreign taxes to the extent permitted by Treasury Regulation § 1.409A-3(j)(4)(xi) (or any successor provision of law);</w:t>
      </w:r>
    </w:p>
    <w:p>
      <w:pPr>
        <w:pStyle w:val="TextBody"/>
        <w:bidi w:val="0"/>
        <w:spacing w:lineRule="auto" w:line="240" w:before="0" w:after="240"/>
        <w:ind w:left="0" w:right="0" w:firstLine="1440"/>
        <w:jc w:val="left"/>
        <w:rPr/>
      </w:pPr>
      <w:r>
        <w:rPr>
          <w:rFonts w:ascii="Times New Roman;serif" w:hAnsi="Times New Roman;serif"/>
          <w:b w:val="false"/>
          <w:color w:val="000000"/>
          <w:sz w:val="24"/>
        </w:rPr>
        <w:t>(f)</w:t>
      </w:r>
      <w:r>
        <w:rPr>
          <w:rFonts w:ascii="Times New Roman;serif" w:hAnsi="Times New Roman;serif"/>
          <w:b w:val="false"/>
          <w:color w:val="000000"/>
          <w:sz w:val="24"/>
        </w:rPr>
        <w:t>In satisfaction of a debt of a Participant to a Participating Company where such debt is incurred in the ordinary course of the service relationship between the Participant and the Participating Company, to the extent permitted by Treasury Regulation § 1.409A-3(j)(4)(xiii) (or any successor provision of law); or</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70890"/>
                <wp:effectExtent l="0" t="0" r="0" b="0"/>
                <wp:wrapNone/>
                <wp:docPr id="97" name="Frame96"/>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4"/>
        </w:rPr>
        <w:t>(g)</w:t>
      </w:r>
      <w:r>
        <w:rPr>
          <w:rFonts w:ascii="Times New Roman;serif" w:hAnsi="Times New Roman;serif"/>
          <w:b w:val="false"/>
          <w:color w:val="000000"/>
          <w:sz w:val="24"/>
        </w:rPr>
        <w:t>In connection with a bona fide dispute as to a Participant’s right to payment, to the extent permitted by Treasury Regulation § 1.409A-3(j)(4)(xiv) (or any successor provision of law).</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8.3. </w:t>
      </w:r>
      <w:r>
        <w:rPr>
          <w:rFonts w:ascii="Times New Roman;serif" w:hAnsi="Times New Roman;serif"/>
          <w:b w:val="false"/>
          <w:color w:val="000000"/>
          <w:sz w:val="24"/>
          <w:u w:val="single"/>
        </w:rPr>
        <w:t>Clawbacks</w:t>
      </w:r>
      <w:r>
        <w:rPr>
          <w:rFonts w:ascii="Times New Roman;serif" w:hAnsi="Times New Roman;serif"/>
          <w:b w:val="false"/>
          <w:color w:val="000000"/>
          <w:sz w:val="24"/>
        </w:rPr>
        <w:t>. Notwithstanding anything to the contrary contained herein, all amounts deferred under the Plan, including all amounts held in any Account (including any RSU Account) and all Deferred Stock Units, and any earnings credited thereto, shall be subject to any clawback or recoupment arrangements or policies the Company has in place from time to time (including, without limitation, any policy adopted to comply with Rule 10D-1 of the 1934 Act or any related stock exchange rules), and the Committee may, to the extent permitted, or shall, to the extent required, by applicable law and stock exchange rules or by any applicable Company policy or arrangement, cancel, require reimbursement or provide for the forfeiture of such amount.</w:t>
      </w:r>
    </w:p>
    <w:p>
      <w:pPr>
        <w:pStyle w:val="TextBody"/>
        <w:bidi w:val="0"/>
        <w:spacing w:lineRule="auto" w:line="240" w:before="0" w:after="240"/>
        <w:jc w:val="center"/>
        <w:rPr/>
      </w:pPr>
      <w:r>
        <w:rPr>
          <w:rFonts w:ascii="Times New Roman;serif" w:hAnsi="Times New Roman;serif"/>
          <w:b/>
          <w:color w:val="000000"/>
          <w:sz w:val="24"/>
        </w:rPr>
        <w:t>ARTICLE 9</w:t>
      </w:r>
      <w:r>
        <w:rPr>
          <w:color w:val="000000"/>
        </w:rPr>
        <w:t xml:space="preserve"> </w:t>
      </w:r>
      <w:r>
        <w:rPr>
          <w:color w:val="000000"/>
        </w:rPr>
        <w:t xml:space="preserve">– </w:t>
      </w:r>
      <w:r>
        <w:rPr>
          <w:rFonts w:ascii="Times New Roman;serif" w:hAnsi="Times New Roman;serif"/>
          <w:b/>
          <w:color w:val="000000"/>
          <w:sz w:val="24"/>
        </w:rPr>
        <w:t>INTERPRETATION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9.1. </w:t>
      </w:r>
      <w:r>
        <w:rPr>
          <w:rFonts w:ascii="Times New Roman;serif" w:hAnsi="Times New Roman;serif"/>
          <w:b w:val="false"/>
          <w:color w:val="000000"/>
          <w:sz w:val="24"/>
          <w:u w:val="single"/>
        </w:rPr>
        <w:t>Authority of Administrator</w:t>
      </w:r>
      <w:r>
        <w:rPr>
          <w:rFonts w:ascii="Times New Roman;serif" w:hAnsi="Times New Roman;serif"/>
          <w:b w:val="false"/>
          <w:color w:val="000000"/>
          <w:sz w:val="24"/>
        </w:rPr>
        <w:t>. The Administrator shall have full and exclusive authority to construe, interpret and administer this Plan and the Administrator’s construction and interpretation thereof shall be binding and conclusive on all persons for all purposes.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9.2. </w:t>
      </w:r>
      <w:r>
        <w:rPr>
          <w:rFonts w:ascii="Times New Roman;serif" w:hAnsi="Times New Roman;serif"/>
          <w:b w:val="false"/>
          <w:color w:val="000000"/>
          <w:sz w:val="24"/>
          <w:u w:val="single"/>
        </w:rPr>
        <w:t>Claims Procedure</w:t>
      </w:r>
      <w:r>
        <w:rPr>
          <w:rFonts w:ascii="Times New Roman;serif" w:hAnsi="Times New Roman;serif"/>
          <w:b w:val="false"/>
          <w:color w:val="000000"/>
          <w:sz w:val="24"/>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An Applicant may file a claim for benefits with the Administrator on a form supplied by the Administrator. If the Administrator wholly or partially denies a claim, the Administrator shall provide the Applicant with a written notice stating:</w:t>
      </w:r>
    </w:p>
    <w:p>
      <w:pPr>
        <w:pStyle w:val="TextBody"/>
        <w:bidi w:val="0"/>
        <w:spacing w:lineRule="auto" w:line="240" w:before="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The specific reason or reasons for the denial;</w:t>
      </w:r>
    </w:p>
    <w:p>
      <w:pPr>
        <w:pStyle w:val="TextBody"/>
        <w:bidi w:val="0"/>
        <w:spacing w:lineRule="auto" w:line="240" w:before="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Specific reference to pertinent Plan provisions on which the denial is based;</w:t>
      </w:r>
    </w:p>
    <w:p>
      <w:pPr>
        <w:pStyle w:val="TextBody"/>
        <w:bidi w:val="0"/>
        <w:spacing w:lineRule="auto" w:line="240" w:before="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A description of any additional material or information necessary for the Applicant to perfect the claim and an explanation of why such material or information is necessary; and</w:t>
      </w:r>
    </w:p>
    <w:p>
      <w:pPr>
        <w:pStyle w:val="TextBody"/>
        <w:bidi w:val="0"/>
        <w:spacing w:lineRule="auto" w:line="240" w:before="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Appropriate information as to the steps to be taken in order to submit a claim for review.</w:t>
      </w:r>
    </w:p>
    <w:p>
      <w:pPr>
        <w:pStyle w:val="TextBody"/>
        <w:bidi w:val="0"/>
        <w:spacing w:lineRule="auto" w:line="288" w:before="0" w:after="240"/>
        <w:jc w:val="left"/>
        <w:rPr/>
      </w:pPr>
      <w:r>
        <w:rPr>
          <w:rFonts w:ascii="Times New Roman;serif" w:hAnsi="Times New Roman;serif"/>
          <w:b w:val="false"/>
          <w:color w:val="000000"/>
          <w:sz w:val="24"/>
        </w:rPr>
        <w:t xml:space="preserve">Written notice of a denial of a claim shall be provided within 90 days of the receipt of the claim;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special circumstances require an extension of time for processing the claim, the Administrator may notify the Applicant in writing that an additional period of up to 90 days will be required to process the claim.</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70890"/>
                <wp:effectExtent l="0" t="0" r="0" b="0"/>
                <wp:wrapNone/>
                <wp:docPr id="98" name="Frame97"/>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comments to the Administrator in writing. The Administrator shall provide a written decision within 60 days of its receipt of the Applicant’s request for review;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It is intended that the claims procedures of this Plan be administered in accordance with the claims procedure regulations of the Department of Labor set forth in 29 CFR § 2560.503-1.</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Claims for benefits under the Plan must be filed with the Administrator at the following address: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Comcast Corporation</w:t>
        <w:br/>
        <w:t>One Comcast Center</w:t>
        <w:br/>
        <w:t>1701 John F. Kennedy Boulevard</w:t>
        <w:br/>
        <w:t>Philadelphia, PA 19103</w:t>
        <w:br/>
        <w:t>Attention: Chief Legal Officer &amp; Secretary</w:t>
      </w:r>
    </w:p>
    <w:p>
      <w:pPr>
        <w:pStyle w:val="TextBody"/>
        <w:bidi w:val="0"/>
        <w:spacing w:lineRule="auto" w:line="240" w:before="0" w:after="240"/>
        <w:jc w:val="center"/>
        <w:rPr/>
      </w:pPr>
      <w:r>
        <w:rPr>
          <w:rFonts w:ascii="Times New Roman;serif" w:hAnsi="Times New Roman;serif"/>
          <w:b/>
          <w:color w:val="000000"/>
          <w:sz w:val="24"/>
        </w:rPr>
        <w:t>ARTICLE 10</w:t>
      </w:r>
      <w:r>
        <w:rPr>
          <w:color w:val="000000"/>
        </w:rPr>
        <w:t xml:space="preserve"> – </w:t>
      </w:r>
      <w:r>
        <w:rPr>
          <w:rFonts w:ascii="Times New Roman;serif" w:hAnsi="Times New Roman;serif"/>
          <w:b w:val="false"/>
          <w:color w:val="000000"/>
          <w:sz w:val="24"/>
        </w:rPr>
        <w:t>AMENDMENT OR TERMINATION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10.1. </w:t>
      </w:r>
      <w:r>
        <w:rPr>
          <w:rFonts w:ascii="Times New Roman;serif" w:hAnsi="Times New Roman;serif"/>
          <w:b w:val="false"/>
          <w:color w:val="000000"/>
          <w:sz w:val="24"/>
          <w:u w:val="single"/>
        </w:rPr>
        <w:t>Amendment or Termination</w:t>
      </w:r>
      <w:r>
        <w:rPr>
          <w:rFonts w:ascii="Times New Roman;serif" w:hAnsi="Times New Roman;serif"/>
          <w:b w:val="false"/>
          <w:color w:val="000000"/>
          <w:sz w:val="24"/>
        </w:rPr>
        <w:t xml:space="preserve">. </w:t>
      </w:r>
    </w:p>
    <w:p>
      <w:pPr>
        <w:pStyle w:val="TextBody"/>
        <w:bidi w:val="0"/>
        <w:spacing w:lineRule="auto" w:line="240" w:before="0" w:after="240"/>
        <w:ind w:left="0" w:right="0" w:firstLine="2160"/>
        <w:jc w:val="left"/>
        <w:rPr/>
      </w:pPr>
      <w:r>
        <w:rPr>
          <w:rFonts w:ascii="Times New Roman;serif" w:hAnsi="Times New Roman;serif"/>
          <w:b w:val="false"/>
          <w:color w:val="000000"/>
          <w:sz w:val="24"/>
        </w:rPr>
        <w:t>10.1.1.</w:t>
      </w:r>
      <w:r>
        <w:rPr>
          <w:rFonts w:ascii="Times New Roman;serif" w:hAnsi="Times New Roman;serif"/>
          <w:b w:val="false"/>
          <w:color w:val="000000"/>
          <w:sz w:val="24"/>
          <w:u w:val="single"/>
        </w:rPr>
        <w:t>In General</w:t>
      </w:r>
      <w:r>
        <w:rPr>
          <w:rFonts w:ascii="Times New Roman;serif" w:hAnsi="Times New Roman;serif"/>
          <w:b w:val="false"/>
          <w:color w:val="000000"/>
          <w:sz w:val="24"/>
        </w:rPr>
        <w:t>. The Company, by action of the Board or by action of the Administrator, shall have the right at any time, or from time to time, to amend or modify this Plan. The Company, by action of the Board, shall have the right, at any time, to terminate this Plan and distribute the Account balance of each Participant in full, to the extent permitted by Section 409A.</w:t>
      </w:r>
    </w:p>
    <w:p>
      <w:pPr>
        <w:pStyle w:val="TextBody"/>
        <w:bidi w:val="0"/>
        <w:spacing w:lineRule="auto" w:line="240" w:before="0" w:after="240"/>
        <w:ind w:left="0" w:right="0" w:firstLine="2160"/>
        <w:jc w:val="left"/>
        <w:rPr/>
      </w:pPr>
      <w:r>
        <w:rPr>
          <w:rFonts w:ascii="Times New Roman;serif" w:hAnsi="Times New Roman;serif"/>
          <w:b w:val="false"/>
          <w:color w:val="000000"/>
          <w:sz w:val="24"/>
        </w:rPr>
        <w:t>10.1.2.</w:t>
      </w:r>
      <w:r>
        <w:rPr>
          <w:rFonts w:ascii="Times New Roman;serif" w:hAnsi="Times New Roman;serif"/>
          <w:b w:val="false"/>
          <w:color w:val="000000"/>
          <w:sz w:val="24"/>
          <w:u w:val="single"/>
        </w:rPr>
        <w:t>Discretion to Provide for Distribution in Full Upon or Following a Change of Control</w:t>
      </w:r>
      <w:r>
        <w:rPr>
          <w:rFonts w:ascii="Times New Roman;serif" w:hAnsi="Times New Roman;serif"/>
          <w:b w:val="false"/>
          <w:color w:val="000000"/>
          <w:sz w:val="24"/>
        </w:rPr>
        <w:t>. To the extent permitted by</w:t>
      </w:r>
      <w:r>
        <w:rPr>
          <w:color w:val="000000"/>
        </w:rPr>
        <w:t xml:space="preserve"> </w:t>
      </w:r>
      <w:r>
        <w:rPr>
          <w:rFonts w:ascii="Times New Roman;serif" w:hAnsi="Times New Roman;serif"/>
          <w:b w:val="false"/>
          <w:color w:val="000000"/>
          <w:sz w:val="24"/>
        </w:rPr>
        <w:t>Section 409A, in connection with a Change of Control, and for the 12-month period following a Change of Control, the Administrator may exercise its discretion to terminate the Plan and, notwithstanding any other provision of the Plan or the terms of any Initial Deferral Election, Regular Deferral Election, or Subsequent Deferral Election, distribute the Account balance of each Participant in full and thereby effect the revocation of any outstanding Initial Deferral Elections, Regular Deferral Elections, or Subsequent Deferral Elections.</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10.2. </w:t>
      </w:r>
      <w:r>
        <w:rPr>
          <w:rFonts w:ascii="Times New Roman;serif" w:hAnsi="Times New Roman;serif"/>
          <w:b w:val="false"/>
          <w:color w:val="000000"/>
          <w:sz w:val="24"/>
          <w:u w:val="single"/>
        </w:rPr>
        <w:t>Amendment of Rate of Credited Earnings</w:t>
      </w:r>
      <w:r>
        <w:rPr>
          <w:rFonts w:ascii="Times New Roman;serif" w:hAnsi="Times New Roman;serif"/>
          <w:b w:val="false"/>
          <w:color w:val="000000"/>
          <w:sz w:val="24"/>
        </w:rPr>
        <w:t>. With respect to any amounts attributable to an Initial Deferral Election, Regular Deferral Election or Subsequent Deferral Election filed before the Restatement Effective Date, no amendment shall change the Applicable Interest Rate with respect to the portion of a Participant’s Account that is attributable to such Initial Deferral Election, Regular Deferral Election, or Subsequent Deferral Election made with respect to Compensation and filed with the Administrator before the date of adoption of such amendment by the Board or the Administrator without the consent of the Participant. For purposes of this Section 10.2, a Subsequent Deferral Election to defer the payment of part or all of an Account for an additional period after a previously elected payment date (as described in Section 3.5) shall be treated as a separate Subsequent Deferral Election from any previous Initial Deferral Election, Regular Deferral Election, or Subsequent Deferral Election with respect to such Account.</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70890"/>
                <wp:effectExtent l="0" t="0" r="0" b="0"/>
                <wp:wrapNone/>
                <wp:docPr id="99" name="Frame98"/>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11</w:t>
      </w:r>
      <w:r>
        <w:rPr>
          <w:color w:val="000000"/>
        </w:rPr>
        <w:t xml:space="preserve"> – </w:t>
      </w:r>
      <w:r>
        <w:rPr>
          <w:rFonts w:ascii="Times New Roman;serif" w:hAnsi="Times New Roman;serif"/>
          <w:b w:val="false"/>
          <w:color w:val="000000"/>
          <w:sz w:val="24"/>
        </w:rPr>
        <w:t>WITHHOLDING OF TAXES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11.1. </w:t>
      </w:r>
      <w:r>
        <w:rPr>
          <w:rFonts w:ascii="Times New Roman;serif" w:hAnsi="Times New Roman;serif"/>
          <w:b w:val="false"/>
          <w:color w:val="000000"/>
          <w:sz w:val="24"/>
          <w:u w:val="single"/>
        </w:rPr>
        <w:t>In General</w:t>
      </w:r>
      <w:r>
        <w:rPr>
          <w:rFonts w:ascii="Times New Roman;serif" w:hAnsi="Times New Roman;serif"/>
          <w:b w:val="false"/>
          <w:color w:val="000000"/>
          <w:sz w:val="24"/>
        </w:rPr>
        <w:t>. Whenever the Participating Company is required to credit deferred Compensation or Deferred Stock Units to the Account of a Participant, the Participating Company shall have the right to require the Participant to remit to the Participating Company an amount sufficient to satisfy any federal, state and local withholding tax requirements prior to the date on which such deferred amounts shall be deemed credited to the Account of the Participant, or take any action whatever that it deems necessary to protect its interests with respect to tax liabilities. The Participating Company’s obligation to credit deferred Compensation or Deferred Stock Units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11.2. </w:t>
      </w:r>
      <w:r>
        <w:rPr>
          <w:rFonts w:ascii="Times New Roman;serif" w:hAnsi="Times New Roman;serif"/>
          <w:b w:val="false"/>
          <w:color w:val="000000"/>
          <w:sz w:val="24"/>
          <w:u w:val="single"/>
        </w:rPr>
        <w:t>Taxes</w:t>
      </w:r>
      <w:r>
        <w:rPr>
          <w:rFonts w:ascii="Times New Roman;serif" w:hAnsi="Times New Roman;serif"/>
          <w:b w:val="false"/>
          <w:color w:val="000000"/>
          <w:sz w:val="24"/>
        </w:rPr>
        <w:t>. Subject to the rules of Section 11.3, the Company shall be entitled, if necessary or desirable, to withhold the amount of any tax, charge, or assessment attributable to the grant of any Award, the occurrence of a Vesting Date with respect to any Award, or distribution of all or any part of a Participant’s Account. The Company shall not be required to deliver Shares pursuant to any Award or distribute a Participant’s Account until it has been indemnified to its satisfaction for any such tax, charge, or assessment.</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11.3. </w:t>
      </w:r>
      <w:r>
        <w:rPr>
          <w:rFonts w:ascii="Times New Roman;serif" w:hAnsi="Times New Roman;serif"/>
          <w:b w:val="false"/>
          <w:color w:val="000000"/>
          <w:sz w:val="24"/>
          <w:u w:val="single"/>
        </w:rPr>
        <w:t>Payment of Tax Liabilities; Election to Withhold Shares or Pay Cash to Satisfy Tax Liability</w:t>
      </w:r>
      <w:r>
        <w:rPr>
          <w:rFonts w:ascii="Times New Roman;serif" w:hAnsi="Times New Roman;serif"/>
          <w:b w:val="false"/>
          <w:color w:val="000000"/>
          <w:sz w:val="24"/>
        </w:rPr>
        <w:t xml:space="preserve">. </w:t>
      </w:r>
    </w:p>
    <w:p>
      <w:pPr>
        <w:pStyle w:val="TextBody"/>
        <w:bidi w:val="0"/>
        <w:spacing w:lineRule="auto" w:line="240" w:before="0" w:after="240"/>
        <w:ind w:left="0" w:right="0" w:firstLine="2160"/>
        <w:jc w:val="left"/>
        <w:rPr/>
      </w:pPr>
      <w:r>
        <w:rPr>
          <w:rFonts w:ascii="Times New Roman;serif" w:hAnsi="Times New Roman;serif"/>
          <w:b w:val="false"/>
          <w:color w:val="000000"/>
          <w:sz w:val="24"/>
        </w:rPr>
        <w:t>11.3.1.</w:t>
      </w:r>
      <w:r>
        <w:rPr>
          <w:rFonts w:ascii="Times New Roman;serif" w:hAnsi="Times New Roman;serif"/>
          <w:b w:val="false"/>
          <w:color w:val="000000"/>
          <w:sz w:val="24"/>
        </w:rPr>
        <w:t>In connection with the distribution of a Participant’s RSU Account, or if, under the terms of an Award, a Participant’s rights with respect to Restricted Stock Units become free of a substantial risk of forfeiture as the result of the Participant’s satisfaction of the age and service conditions for retirement eligibility, and, as a result thereof, employment tax liabilities arise, the Company shall have the right to (A) require the Participant to remit to the Company an amount sufficient to satisfy any federal, state and/or local withholding tax requirements, or (B) take any action whatever that it deems necessary to protect its interests with respect to tax liabilities. The Company’s obligation to make any delivery or transfer of Shares shall be conditioned on the Participant’s compliance, to the Company’s satisfaction, with any withholding requirement.</w:t>
      </w:r>
    </w:p>
    <w:p>
      <w:pPr>
        <w:pStyle w:val="TextBody"/>
        <w:bidi w:val="0"/>
        <w:spacing w:lineRule="auto" w:line="240" w:before="0" w:after="240"/>
        <w:ind w:left="0" w:right="0" w:firstLine="2160"/>
        <w:jc w:val="left"/>
        <w:rPr/>
      </w:pPr>
      <w:r>
        <w:rPr>
          <w:rFonts w:ascii="Times New Roman;serif" w:hAnsi="Times New Roman;serif"/>
          <w:b w:val="false"/>
          <w:color w:val="000000"/>
          <w:sz w:val="24"/>
        </w:rPr>
        <w:t>11.3.2.</w:t>
      </w:r>
      <w:r>
        <w:rPr>
          <w:rFonts w:ascii="Times New Roman;serif" w:hAnsi="Times New Roman;serif"/>
          <w:b w:val="false"/>
          <w:color w:val="000000"/>
          <w:sz w:val="24"/>
        </w:rPr>
        <w:t xml:space="preserve">If part of a Participant’s Award is subject to an Initial Deferral Election or a Regular Deferral Election, or, under the terms of an Award, a Participant’s rights with respect to Restricted Stock Units become free of a substantial risk of forfeiture as the result of the satisfaction of a performance or service condition, or the Participant’s satisfaction of the age and service conditions for retirement eligibility, and, as a result thereof, employment tax liabilities arise, then, except to the extent the Participant affirmatively elects otherwise as part of the Initial Deferral Election or Regular Deferral Election, the Participant shall be required to remit to the Company an amount sufficient to satisfy any federal, state and/or local withholding tax requirements. As part of the Participant’s Initial Deferral Election or Regular Deferral Election, the Participant may elect that Shares subject to such Award be withheld by the Company to the extent necessary to pay such employment tax liabilities (on a fully grossed-up basis to cover income and other withholding tax liabilities that may arise in connection with such an event), notwithstanding that such Shares may not yet have vested and become deliverable in accordance with the terms of the Award. Shares withheld pursuant to this Section 11.3.2 shall be deemed allocated and offset against the number of Restricted Stock Units that may become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70890"/>
                <wp:effectExtent l="0" t="0" r="0" b="0"/>
                <wp:wrapNone/>
                <wp:docPr id="100" name="Frame99"/>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subject to vesting under the terms of the Award on a basis pro rata to the Restricted Stock Units that give rise to the employment tax liabilities.</w:t>
      </w:r>
    </w:p>
    <w:p>
      <w:pPr>
        <w:pStyle w:val="TextBody"/>
        <w:bidi w:val="0"/>
        <w:spacing w:lineRule="auto" w:line="240" w:before="0" w:after="240"/>
        <w:jc w:val="center"/>
        <w:rPr/>
      </w:pPr>
      <w:r>
        <w:rPr>
          <w:rFonts w:ascii="Times New Roman;serif" w:hAnsi="Times New Roman;serif"/>
          <w:b/>
          <w:color w:val="000000"/>
          <w:sz w:val="24"/>
        </w:rPr>
        <w:t>ARTICLE 12</w:t>
      </w:r>
      <w:r>
        <w:rPr>
          <w:color w:val="000000"/>
        </w:rPr>
        <w:t xml:space="preserve"> – </w:t>
      </w:r>
      <w:r>
        <w:rPr>
          <w:rFonts w:ascii="Times New Roman;serif" w:hAnsi="Times New Roman;serif"/>
          <w:b w:val="false"/>
          <w:color w:val="000000"/>
          <w:sz w:val="24"/>
        </w:rPr>
        <w:t>MISCELLANEOUS PROVISIONS</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12.1. </w:t>
      </w:r>
      <w:r>
        <w:rPr>
          <w:rFonts w:ascii="Times New Roman;serif" w:hAnsi="Times New Roman;serif"/>
          <w:b w:val="false"/>
          <w:color w:val="000000"/>
          <w:sz w:val="24"/>
          <w:u w:val="single"/>
        </w:rPr>
        <w:t>No Right to Continued Employment</w:t>
      </w:r>
      <w:r>
        <w:rPr>
          <w:rFonts w:ascii="Times New Roman;serif" w:hAnsi="Times New Roman;serif"/>
          <w:b w:val="false"/>
          <w:color w:val="000000"/>
          <w:sz w:val="24"/>
        </w:rPr>
        <w:t>. Nothing contained herein shall be construed as conferring upon any Participant the right to remain in service as a Non-Employee Director or Director Emeritus or in the employment of a Participating Company as an executive or in any other capacity.</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12.2. </w:t>
      </w:r>
      <w:r>
        <w:rPr>
          <w:rFonts w:ascii="Times New Roman;serif" w:hAnsi="Times New Roman;serif"/>
          <w:b w:val="false"/>
          <w:color w:val="000000"/>
          <w:sz w:val="24"/>
          <w:u w:val="single"/>
        </w:rPr>
        <w:t>Expenses of Plan</w:t>
      </w:r>
      <w:r>
        <w:rPr>
          <w:rFonts w:ascii="Times New Roman;serif" w:hAnsi="Times New Roman;serif"/>
          <w:b w:val="false"/>
          <w:color w:val="000000"/>
          <w:sz w:val="24"/>
        </w:rPr>
        <w:t>. All expenses of the Plan shall be paid by the Participating Companies.</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12.3. </w:t>
      </w:r>
      <w:r>
        <w:rPr>
          <w:rFonts w:ascii="Times New Roman;serif" w:hAnsi="Times New Roman;serif"/>
          <w:b w:val="false"/>
          <w:color w:val="000000"/>
          <w:sz w:val="24"/>
          <w:u w:val="single"/>
        </w:rPr>
        <w:t>Law Governing Construction</w:t>
      </w:r>
      <w:r>
        <w:rPr>
          <w:rFonts w:ascii="Times New Roman;serif" w:hAnsi="Times New Roman;serif"/>
          <w:b w:val="false"/>
          <w:color w:val="000000"/>
          <w:sz w:val="24"/>
        </w:rPr>
        <w:t>. The construction and administration of the Plan and all questions pertaining thereto, shall be governed by the Employee Retirement Income Security Act of 1974, as amended (“</w:t>
      </w:r>
      <w:r>
        <w:rPr>
          <w:rFonts w:ascii="Times New Roman;serif" w:hAnsi="Times New Roman;serif"/>
          <w:b w:val="false"/>
          <w:color w:val="000000"/>
          <w:sz w:val="24"/>
          <w:u w:val="single"/>
        </w:rPr>
        <w:t>ERISA</w:t>
      </w:r>
      <w:r>
        <w:rPr>
          <w:color w:val="000000"/>
        </w:rPr>
        <w:t>”</w:t>
      </w:r>
      <w:r>
        <w:rPr>
          <w:rFonts w:ascii="Times New Roman;serif" w:hAnsi="Times New Roman;serif"/>
          <w:b w:val="false"/>
          <w:color w:val="000000"/>
          <w:sz w:val="24"/>
        </w:rPr>
        <w:t>), and other applicable federal law and, to the extent not governed by federal law, by the laws of the Commonwealth of Pennsylvania.</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12.4. </w:t>
      </w:r>
      <w:r>
        <w:rPr>
          <w:rFonts w:ascii="Times New Roman;serif" w:hAnsi="Times New Roman;serif"/>
          <w:b w:val="false"/>
          <w:color w:val="000000"/>
          <w:sz w:val="24"/>
          <w:u w:val="single"/>
        </w:rPr>
        <w:t>Headings Not a Part Hereof</w:t>
      </w:r>
      <w:r>
        <w:rPr>
          <w:rFonts w:ascii="Times New Roman;serif" w:hAnsi="Times New Roman;serif"/>
          <w:b w:val="false"/>
          <w:color w:val="000000"/>
          <w:sz w:val="24"/>
        </w:rPr>
        <w:t>. Any headings preceding the text of the several Articles, Sections, subsections, or paragraphs hereof are inserted solely for convenience of reference and shall not constitute a part of the Plan, nor shall they affect its meaning, construction, or effect.</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12.5. </w:t>
      </w:r>
      <w:r>
        <w:rPr>
          <w:rFonts w:ascii="Times New Roman;serif" w:hAnsi="Times New Roman;serif"/>
          <w:b w:val="false"/>
          <w:color w:val="000000"/>
          <w:sz w:val="24"/>
          <w:u w:val="single"/>
        </w:rPr>
        <w:t>Severability of Provisions</w:t>
      </w:r>
      <w:r>
        <w:rPr>
          <w:rFonts w:ascii="Times New Roman;serif" w:hAnsi="Times New Roman;serif"/>
          <w:b w:val="false"/>
          <w:color w:val="000000"/>
          <w:sz w:val="24"/>
        </w:rPr>
        <w:t xml:space="preserve">. If any provision of this Plan is determined to be void by any court of competent jurisdiction, the Plan shall continue to operate and, for the purposes of the jurisdiction of that court only, shall be deemed not to include the provision determined to be void. </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12.6. </w:t>
      </w:r>
      <w:r>
        <w:rPr>
          <w:rFonts w:ascii="Times New Roman;serif" w:hAnsi="Times New Roman;serif"/>
          <w:b w:val="false"/>
          <w:color w:val="000000"/>
          <w:sz w:val="24"/>
          <w:u w:val="single"/>
        </w:rPr>
        <w:t>Timing of Payment</w:t>
      </w:r>
      <w:r>
        <w:rPr>
          <w:rFonts w:ascii="Times New Roman;serif" w:hAnsi="Times New Roman;serif"/>
          <w:b w:val="false"/>
          <w:color w:val="000000"/>
          <w:sz w:val="24"/>
        </w:rPr>
        <w:t xml:space="preserve">. Notwithstanding anything in the Plan to the contrary, any payment made under the Plan will be considered to have been timely made, and neither a Participant nor any Beneficiary shall have any claim against the Company for damages based on a delay in such payment, as long as payment is made by December 31st of the year in which occurs the specified payment date or, if later, by the 15th day of the third calendar month following such specified date, or, in connection with any such payment due to death, to the extent permissible under Section 409A, by the end of the calendar year following the year of death. Similarly, neither a Participant nor any Beneficiary shall have any claim against the Company for damages based on any acceleration of any payment under the Plan;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such acceleration is not prohibited by Section 409A and would not result in the recognition of income for United States federal income tax purposes prior to the applicable payment or result in any additional tax or interest under Section 409A. </w:t>
      </w:r>
    </w:p>
    <w:p>
      <w:pPr>
        <w:pStyle w:val="TextBody"/>
        <w:bidi w:val="0"/>
        <w:spacing w:lineRule="auto" w:line="240" w:before="0" w:after="240"/>
        <w:ind w:left="0" w:right="0" w:firstLine="1440"/>
        <w:jc w:val="left"/>
        <w:rPr/>
      </w:pPr>
      <w:r>
        <w:rPr>
          <w:rFonts w:ascii="Times New Roman;serif" w:hAnsi="Times New Roman;serif"/>
          <w:b w:val="false"/>
          <w:color w:val="000000"/>
          <w:sz w:val="24"/>
        </w:rPr>
        <w:t xml:space="preserve">12.7. </w:t>
      </w:r>
      <w:r>
        <w:rPr>
          <w:rFonts w:ascii="Times New Roman;serif" w:hAnsi="Times New Roman;serif"/>
          <w:b w:val="false"/>
          <w:color w:val="000000"/>
          <w:sz w:val="24"/>
          <w:u w:val="single"/>
        </w:rPr>
        <w:t>Transfer to Successor Plans</w:t>
      </w:r>
      <w:r>
        <w:rPr>
          <w:rFonts w:ascii="Times New Roman;serif" w:hAnsi="Times New Roman;serif"/>
          <w:b w:val="false"/>
          <w:color w:val="000000"/>
          <w:sz w:val="24"/>
        </w:rPr>
        <w:t xml:space="preserve">. Without limiting the generality of Section 10.1.1, the Administrator may, in its sole discretion, cause the Plan to transfer to another nonqualified deferred compensation plan (including, without limitation, in connection with (i) a spin-off, split-off, change in control, asset sale, sale of business, disaffiliation or similar transaction or (ii) the establishment of a separate nonqualified deferred compensation plan by the Company) (A) all or part of the liabilities and assets (if any) associated with Accounts maintained under the Plan and (B) participation rights of any employees or other service providers who are eligible to participate in the Plan, subject to such terms and conditions (including any rules and procedures) as the Administrator determines in its sole discretion from time to time. Any such transfer will be made, and the Accounts will be administered following such transfer, in a manner that complies with Section 409A. Upon the effectiveness of any such transfer, the Plan will have no further liability or obligation with respect to the transferred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70890"/>
                <wp:effectExtent l="0" t="0" r="0" b="0"/>
                <wp:wrapNone/>
                <wp:docPr id="101" name="Frame100"/>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Accounts. In connection with such transfer, assets under the Plan associated with such transferred Accounts (if any) may be transferred from a rabbi trust established under the Plan (if any) to a successor rabbi trust established for the successor nonqualified deferred compensation plan, to the extent determined by the Administrator in its discretion.</w:t>
      </w:r>
    </w:p>
    <w:p>
      <w:pPr>
        <w:pStyle w:val="TextBody"/>
        <w:bidi w:val="0"/>
        <w:spacing w:lineRule="auto" w:line="240" w:before="0" w:after="240"/>
        <w:jc w:val="center"/>
        <w:rPr/>
      </w:pPr>
      <w:r>
        <w:rPr>
          <w:rFonts w:ascii="Times New Roman;serif" w:hAnsi="Times New Roman;serif"/>
          <w:b/>
          <w:color w:val="000000"/>
          <w:sz w:val="24"/>
        </w:rPr>
        <w:t>ARTICLE 13</w:t>
      </w:r>
      <w:r>
        <w:rPr>
          <w:color w:val="000000"/>
        </w:rPr>
        <w:t xml:space="preserve"> – </w:t>
      </w:r>
      <w:r>
        <w:rPr>
          <w:rFonts w:ascii="Times New Roman;serif" w:hAnsi="Times New Roman;serif"/>
          <w:b/>
          <w:color w:val="000000"/>
          <w:sz w:val="24"/>
        </w:rPr>
        <w:t>EFFECTIVE DATE</w:t>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The original effective date of the Plan is January 1, 2005. The effective date of this amendment and restatement of the Plan is July 13, 2026.</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70890"/>
                <wp:effectExtent l="0" t="0" r="0" b="0"/>
                <wp:wrapNone/>
                <wp:docPr id="102" name="Frame101"/>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w:t>
      </w:r>
    </w:p>
    <w:p>
      <w:pPr>
        <w:pStyle w:val="TextBody"/>
        <w:bidi w:val="0"/>
        <w:spacing w:lineRule="auto" w:line="288" w:before="0" w:after="120"/>
        <w:jc w:val="center"/>
        <w:rPr>
          <w:rFonts w:ascii="Arial;sans-serif" w:hAnsi="Arial;sans-serif"/>
          <w:b/>
          <w:color w:val="000000"/>
          <w:sz w:val="24"/>
        </w:rPr>
      </w:pPr>
      <w:r>
        <w:rPr>
          <w:rFonts w:ascii="Arial;sans-serif" w:hAnsi="Arial;sans-serif"/>
          <w:b/>
          <w:color w:val="000000"/>
          <w:sz w:val="24"/>
        </w:rPr>
        <w:t>CERTIFICATIONS</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I, Brian L. Roberts, certify that:</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Comcast Corporation;</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22, 2026 </w:t>
      </w:r>
    </w:p>
    <w:tbl>
      <w:tblPr>
        <w:tblW w:w="2880" w:type="dxa"/>
        <w:jc w:val="left"/>
        <w:tblInd w:w="0" w:type="dxa"/>
        <w:tblLayout w:type="fixed"/>
        <w:tblCellMar>
          <w:top w:w="28" w:type="dxa"/>
          <w:left w:w="28" w:type="dxa"/>
          <w:bottom w:w="28" w:type="dxa"/>
          <w:right w:w="28" w:type="dxa"/>
        </w:tblCellMar>
      </w:tblPr>
      <w:tblGrid>
        <w:gridCol w:w="921"/>
        <w:gridCol w:w="811"/>
        <w:gridCol w:w="1148"/>
      </w:tblGrid>
      <w:tr>
        <w:trPr/>
        <w:tc>
          <w:tcPr>
            <w:tcW w:w="92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BRIAN L. ROBERTS</w:t>
            </w:r>
          </w:p>
        </w:tc>
      </w:tr>
      <w:tr>
        <w:trPr/>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Brian L. Roberts</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Co-Chief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25780"/>
                <wp:effectExtent l="0" t="0" r="0" b="0"/>
                <wp:wrapNone/>
                <wp:docPr id="103" name="Frame10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I, Michael J. Cavanagh, certify that:</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Comcast Corporation;</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22, 2026 </w:t>
      </w:r>
    </w:p>
    <w:tbl>
      <w:tblPr>
        <w:tblW w:w="2880" w:type="dxa"/>
        <w:jc w:val="left"/>
        <w:tblInd w:w="0" w:type="dxa"/>
        <w:tblLayout w:type="fixed"/>
        <w:tblCellMar>
          <w:top w:w="28" w:type="dxa"/>
          <w:left w:w="28" w:type="dxa"/>
          <w:bottom w:w="28" w:type="dxa"/>
          <w:right w:w="28" w:type="dxa"/>
        </w:tblCellMar>
      </w:tblPr>
      <w:tblGrid>
        <w:gridCol w:w="922"/>
        <w:gridCol w:w="809"/>
        <w:gridCol w:w="1149"/>
      </w:tblGrid>
      <w:tr>
        <w:trPr/>
        <w:tc>
          <w:tcPr>
            <w:tcW w:w="92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J. CAVANAGH</w:t>
            </w:r>
          </w:p>
        </w:tc>
      </w:tr>
      <w:tr>
        <w:trPr/>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Michael J. Cavanagh</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Co-Chief Executive Officer</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25780"/>
                <wp:effectExtent l="0" t="0" r="0" b="0"/>
                <wp:wrapNone/>
                <wp:docPr id="104" name="Frame10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Jason S. Armstrong, certify that:</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Comcast Corporation;</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Date: October 22, 2026 </w:t>
      </w:r>
    </w:p>
    <w:tbl>
      <w:tblPr>
        <w:tblW w:w="2519" w:type="dxa"/>
        <w:jc w:val="left"/>
        <w:tblInd w:w="0" w:type="dxa"/>
        <w:tblLayout w:type="fixed"/>
        <w:tblCellMar>
          <w:top w:w="28" w:type="dxa"/>
          <w:left w:w="28" w:type="dxa"/>
          <w:bottom w:w="28" w:type="dxa"/>
          <w:right w:w="28" w:type="dxa"/>
        </w:tblCellMar>
      </w:tblPr>
      <w:tblGrid>
        <w:gridCol w:w="806"/>
        <w:gridCol w:w="708"/>
        <w:gridCol w:w="1005"/>
      </w:tblGrid>
      <w:tr>
        <w:trPr/>
        <w:tc>
          <w:tcPr>
            <w:tcW w:w="80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JASON S. ARMSTRONG</w:t>
            </w:r>
          </w:p>
        </w:tc>
      </w:tr>
      <w:tr>
        <w:trPr/>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Jason S. Armstrong</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25780"/>
                <wp:effectExtent l="0" t="0" r="0" b="0"/>
                <wp:wrapNone/>
                <wp:docPr id="105" name="Frame10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60" w:after="120"/>
        <w:jc w:val="left"/>
        <w:rPr/>
      </w:pPr>
      <w:r>
        <w:rPr/>
      </w:r>
    </w:p>
    <w:p>
      <w:pPr>
        <w:pStyle w:val="TextBody"/>
        <w:bidi w:val="0"/>
        <w:spacing w:lineRule="auto" w:line="288" w:before="60" w:after="120"/>
        <w:jc w:val="center"/>
        <w:rPr>
          <w:rFonts w:ascii="Arial;sans-serif" w:hAnsi="Arial;sans-serif"/>
          <w:b/>
          <w:color w:val="000000"/>
          <w:sz w:val="24"/>
        </w:rPr>
      </w:pPr>
      <w:r>
        <w:rPr>
          <w:rFonts w:ascii="Arial;sans-serif" w:hAnsi="Arial;sans-serif"/>
          <w:b/>
          <w:color w:val="000000"/>
          <w:sz w:val="24"/>
        </w:rPr>
        <w:t>CERTIFICATION PURSUANT TO SECTION 906 OF THE SARBANES-OXLEY ACT</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October 22, 2026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100 F Street, 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before="0" w:after="0"/>
        <w:jc w:val="left"/>
        <w:rPr/>
      </w:pPr>
      <w:r>
        <w:rPr/>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Brian L. Roberts and Michael J. Cavanagh, the Co-Chief Executive Officers and Jason S. Armstrong, the Chief Financial Officer of Comcast Corporation, each certifies that, to the best of his knowledge:</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lineRule="auto" w:line="288" w:before="6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Comcast Corporation.</w:t>
      </w:r>
    </w:p>
    <w:tbl>
      <w:tblPr>
        <w:tblW w:w="2880" w:type="dxa"/>
        <w:jc w:val="right"/>
        <w:tblInd w:w="0" w:type="dxa"/>
        <w:tblLayout w:type="fixed"/>
        <w:tblCellMar>
          <w:top w:w="28" w:type="dxa"/>
          <w:left w:w="28" w:type="dxa"/>
          <w:bottom w:w="28" w:type="dxa"/>
          <w:right w:w="28" w:type="dxa"/>
        </w:tblCellMar>
      </w:tblPr>
      <w:tblGrid>
        <w:gridCol w:w="921"/>
        <w:gridCol w:w="811"/>
        <w:gridCol w:w="1148"/>
      </w:tblGrid>
      <w:tr>
        <w:trPr/>
        <w:tc>
          <w:tcPr>
            <w:tcW w:w="92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BRIAN L. ROBERTS</w:t>
            </w:r>
          </w:p>
        </w:tc>
      </w:tr>
      <w:tr>
        <w:trPr/>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Brian L. Roberts</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Co-Chief Executive Officer</w:t>
            </w:r>
          </w:p>
        </w:tc>
      </w:tr>
    </w:tbl>
    <w:p>
      <w:pPr>
        <w:pStyle w:val="TextBody"/>
        <w:bidi w:val="0"/>
        <w:spacing w:before="100" w:after="283"/>
        <w:jc w:val="right"/>
        <w:rPr/>
      </w:pPr>
      <w:r>
        <w:rPr/>
      </w:r>
    </w:p>
    <w:tbl>
      <w:tblPr>
        <w:tblW w:w="2880" w:type="dxa"/>
        <w:jc w:val="right"/>
        <w:tblInd w:w="0" w:type="dxa"/>
        <w:tblLayout w:type="fixed"/>
        <w:tblCellMar>
          <w:top w:w="28" w:type="dxa"/>
          <w:left w:w="28" w:type="dxa"/>
          <w:bottom w:w="28" w:type="dxa"/>
          <w:right w:w="28" w:type="dxa"/>
        </w:tblCellMar>
      </w:tblPr>
      <w:tblGrid>
        <w:gridCol w:w="922"/>
        <w:gridCol w:w="809"/>
        <w:gridCol w:w="1149"/>
      </w:tblGrid>
      <w:tr>
        <w:trPr/>
        <w:tc>
          <w:tcPr>
            <w:tcW w:w="92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J. CAVANAGH</w:t>
            </w:r>
          </w:p>
        </w:tc>
      </w:tr>
      <w:tr>
        <w:trPr/>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Michael J. Cavanagh</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Co-Chief Executive Officer</w:t>
            </w:r>
          </w:p>
        </w:tc>
      </w:tr>
    </w:tbl>
    <w:p>
      <w:pPr>
        <w:pStyle w:val="TextBody"/>
        <w:bidi w:val="0"/>
        <w:spacing w:before="60" w:after="120"/>
        <w:jc w:val="right"/>
        <w:rPr/>
      </w:pPr>
      <w:r>
        <w:rPr/>
      </w:r>
    </w:p>
    <w:tbl>
      <w:tblPr>
        <w:tblW w:w="2519" w:type="dxa"/>
        <w:jc w:val="right"/>
        <w:tblInd w:w="0" w:type="dxa"/>
        <w:tblLayout w:type="fixed"/>
        <w:tblCellMar>
          <w:top w:w="28" w:type="dxa"/>
          <w:left w:w="28" w:type="dxa"/>
          <w:bottom w:w="28" w:type="dxa"/>
          <w:right w:w="28" w:type="dxa"/>
        </w:tblCellMar>
      </w:tblPr>
      <w:tblGrid>
        <w:gridCol w:w="806"/>
        <w:gridCol w:w="708"/>
        <w:gridCol w:w="1005"/>
      </w:tblGrid>
      <w:tr>
        <w:trPr/>
        <w:tc>
          <w:tcPr>
            <w:tcW w:w="80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JASON S. ARMSTRONG</w:t>
            </w:r>
          </w:p>
        </w:tc>
      </w:tr>
      <w:tr>
        <w:trPr/>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Jason S. Armstrong</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6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13360"/>
                <wp:effectExtent l="0" t="0" r="0" b="0"/>
                <wp:wrapNone/>
                <wp:docPr id="106" name="Frame105"/>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12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67</Pages>
  <Words>52261</Words>
  <Characters>288063</Characters>
  <CharactersWithSpaces>337882</CharactersWithSpaces>
  <Paragraphs>4732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