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001-32871</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COMCAST CORP</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8109" w:type="dxa"/>
                    <w:jc w:val="center"/>
                    <w:tblInd w:w="0" w:type="dxa"/>
                    <w:tblLayout w:type="fixed"/>
                    <w:tblCellMar>
                      <w:top w:w="28" w:type="dxa"/>
                      <w:left w:w="28" w:type="dxa"/>
                      <w:bottom w:w="28" w:type="dxa"/>
                      <w:right w:w="28" w:type="dxa"/>
                    </w:tblCellMar>
                  </w:tblPr>
                  <w:tblGrid>
                    <w:gridCol w:w="2206"/>
                    <w:gridCol w:w="1276"/>
                    <w:gridCol w:w="2011"/>
                    <w:gridCol w:w="706"/>
                    <w:gridCol w:w="109"/>
                    <w:gridCol w:w="180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410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Comcast Center</w:t>
                        </w:r>
                      </w:p>
                    </w:tc>
                    <w:tc>
                      <w:tcPr>
                        <w:tcW w:w="18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201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PENNSYLVANIA</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c>
                      <w:tcPr>
                        <w:tcW w:w="109" w:type="dxa"/>
                        <w:tcBorders/>
                      </w:tcPr>
                      <w:p>
                        <w:pPr>
                          <w:pStyle w:val="TableContents"/>
                          <w:bidi w:val="0"/>
                          <w:spacing w:before="0" w:after="283"/>
                          <w:jc w:val="left"/>
                          <w:rPr>
                            <w:sz w:val="4"/>
                            <w:szCs w:val="4"/>
                          </w:rPr>
                        </w:pPr>
                        <w:r>
                          <w:rPr>
                            <w:sz w:val="4"/>
                            <w:szCs w:val="4"/>
                          </w:rPr>
                        </w:r>
                      </w:p>
                    </w:tc>
                    <w:tc>
                      <w:tcPr>
                        <w:tcW w:w="180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4102" w:type="dxa"/>
                        <w:gridSpan w:val="4"/>
                        <w:tcBorders/>
                        <w:vAlign w:val="center"/>
                      </w:tcPr>
                      <w:p>
                        <w:pPr>
                          <w:pStyle w:val="TableContents"/>
                          <w:bidi w:val="0"/>
                          <w:spacing w:before="0" w:after="283"/>
                          <w:jc w:val="left"/>
                          <w:rPr>
                            <w:sz w:val="4"/>
                            <w:szCs w:val="4"/>
                          </w:rPr>
                        </w:pPr>
                        <w:r>
                          <w:rPr>
                            <w:sz w:val="4"/>
                            <w:szCs w:val="4"/>
                          </w:rPr>
                        </w:r>
                      </w:p>
                    </w:tc>
                    <w:tc>
                      <w:tcPr>
                        <w:tcW w:w="180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+1 215 286-1700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Notes due 2026</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2026-09-14</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Katelin Rowe</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CDO Analyst</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cmcs26-form25.txt"/>
      <w:bookmarkStart w:id="6" w:name="kscmcs26form25"/>
      <w:bookmarkEnd w:id="5"/>
      <w:bookmarkEnd w:id="6"/>
      <w:r>
        <w:rPr/>
        <w:t>Cmcs26-form25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2871" TargetMode="External"/><Relationship Id="rId3" Type="http://schemas.openxmlformats.org/officeDocument/2006/relationships/hyperlink" Target="http://www.sec.gov/cgi-bin/browse-edgar?action=getcompany&amp;CIK=0001166691"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321</Words>
  <Characters>1772</Characters>
  <CharactersWithSpaces>2055</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