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32"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32"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32"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32"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32"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0"/>
        </w:rPr>
      </w:pPr>
      <w:r>
        <w:rPr>
          <w:rFonts w:ascii="Times New Roman;serif" w:hAnsi="Times New Roman;serif"/>
          <w:b/>
          <w:color w:val="000000"/>
          <w:sz w:val="30"/>
        </w:rPr>
        <w:t>UNITED STATES</w:t>
      </w:r>
    </w:p>
    <w:p>
      <w:pPr>
        <w:pStyle w:val="TextBody"/>
        <w:bidi w:val="0"/>
        <w:spacing w:lineRule="auto" w:line="288" w:before="0" w:after="0"/>
        <w:jc w:val="center"/>
        <w:rPr>
          <w:rFonts w:ascii="Times New Roman;serif" w:hAnsi="Times New Roman;serif"/>
          <w:b/>
          <w:color w:val="000000"/>
          <w:sz w:val="30"/>
        </w:rPr>
      </w:pPr>
      <w:r>
        <w:rPr>
          <w:rFonts w:ascii="Times New Roman;serif" w:hAnsi="Times New Roman;serif"/>
          <w:b/>
          <w:color w:val="000000"/>
          <w:sz w:val="30"/>
        </w:rPr>
        <w:t>SECURITIES AND EXCHANGE COMMISSION</w:t>
      </w:r>
    </w:p>
    <w:p>
      <w:pPr>
        <w:pStyle w:val="TextBody"/>
        <w:bidi w:val="0"/>
        <w:spacing w:lineRule="auto" w:line="288" w:before="0" w:after="0"/>
        <w:jc w:val="center"/>
        <w:rPr>
          <w:rFonts w:ascii="Times New Roman;serif" w:hAnsi="Times New Roman;serif"/>
          <w:b/>
          <w:color w:val="000000"/>
          <w:sz w:val="30"/>
        </w:rPr>
      </w:pPr>
      <w:r>
        <w:rPr>
          <w:rFonts w:ascii="Times New Roman;serif" w:hAnsi="Times New Roman;serif"/>
          <w:b/>
          <w:color w:val="000000"/>
          <w:sz w:val="30"/>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center"/>
        <w:rPr>
          <w:rFonts w:ascii="Times New Roman;serif" w:hAnsi="Times New Roman;serif"/>
          <w:b/>
          <w:color w:val="000000"/>
          <w:sz w:val="30"/>
        </w:rPr>
      </w:pPr>
      <w:r>
        <w:rPr>
          <w:rFonts w:ascii="Times New Roman;serif" w:hAnsi="Times New Roman;serif"/>
          <w:b/>
          <w:color w:val="000000"/>
          <w:sz w:val="30"/>
        </w:rPr>
        <w:t xml:space="preserve">FORM 8-K </w:t>
      </w:r>
    </w:p>
    <w:p>
      <w:pPr>
        <w:pStyle w:val="TextBody"/>
        <w:bidi w:val="0"/>
        <w:spacing w:lineRule="auto" w:line="288" w:before="120" w:after="283"/>
        <w:jc w:val="center"/>
        <w:rPr>
          <w:rFonts w:ascii="Times New Roman;serif" w:hAnsi="Times New Roman;serif"/>
          <w:b/>
          <w:color w:val="000000"/>
          <w:sz w:val="30"/>
        </w:rPr>
      </w:pPr>
      <w:r>
        <w:rPr>
          <w:rFonts w:ascii="Times New Roman;serif" w:hAnsi="Times New Roman;serif"/>
          <w:b/>
          <w:color w:val="000000"/>
          <w:sz w:val="30"/>
        </w:rPr>
        <w:t>CURRENT REPORT</w:t>
      </w:r>
    </w:p>
    <w:p>
      <w:pPr>
        <w:pStyle w:val="TextBody"/>
        <w:bidi w:val="0"/>
        <w:spacing w:lineRule="auto" w:line="288" w:before="0" w:after="0"/>
        <w:jc w:val="center"/>
        <w:rPr>
          <w:rFonts w:ascii="Times New Roman;serif" w:hAnsi="Times New Roman;serif"/>
          <w:b/>
          <w:color w:val="000000"/>
          <w:sz w:val="30"/>
        </w:rPr>
      </w:pPr>
      <w:r>
        <w:rPr>
          <w:rFonts w:ascii="Times New Roman;serif" w:hAnsi="Times New Roman;serif"/>
          <w:b/>
          <w:color w:val="000000"/>
          <w:sz w:val="30"/>
        </w:rPr>
        <w:t>Pursuant to Section 13 or 15(d) of the</w:t>
      </w:r>
    </w:p>
    <w:p>
      <w:pPr>
        <w:pStyle w:val="TextBody"/>
        <w:bidi w:val="0"/>
        <w:spacing w:lineRule="auto" w:line="288" w:before="0" w:after="0"/>
        <w:jc w:val="center"/>
        <w:rPr>
          <w:rFonts w:ascii="Times New Roman;serif" w:hAnsi="Times New Roman;serif"/>
          <w:b/>
          <w:color w:val="000000"/>
          <w:sz w:val="30"/>
        </w:rPr>
      </w:pPr>
      <w:r>
        <w:rPr>
          <w:rFonts w:ascii="Times New Roman;serif" w:hAnsi="Times New Roman;serif"/>
          <w:b/>
          <w:color w:val="000000"/>
          <w:sz w:val="30"/>
        </w:rPr>
        <w:t>Securities Exchange Act of 1934</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Date of report (Date of earliest event reported): October 22, 2026 </w:t>
      </w:r>
    </w:p>
    <w:tbl>
      <w:tblPr>
        <w:tblW w:w="8678" w:type="dxa"/>
        <w:jc w:val="center"/>
        <w:tblInd w:w="0" w:type="dxa"/>
        <w:tblLayout w:type="fixed"/>
        <w:tblCellMar>
          <w:top w:w="28" w:type="dxa"/>
          <w:left w:w="28" w:type="dxa"/>
          <w:bottom w:w="28" w:type="dxa"/>
          <w:right w:w="28" w:type="dxa"/>
        </w:tblCellMar>
      </w:tblPr>
      <w:tblGrid>
        <w:gridCol w:w="593"/>
        <w:gridCol w:w="519"/>
        <w:gridCol w:w="520"/>
        <w:gridCol w:w="427"/>
        <w:gridCol w:w="427"/>
        <w:gridCol w:w="436"/>
        <w:gridCol w:w="536"/>
        <w:gridCol w:w="536"/>
        <w:gridCol w:w="536"/>
        <w:gridCol w:w="536"/>
        <w:gridCol w:w="536"/>
        <w:gridCol w:w="542"/>
        <w:gridCol w:w="740"/>
        <w:gridCol w:w="740"/>
        <w:gridCol w:w="1054"/>
      </w:tblGrid>
      <w:tr>
        <w:trPr/>
        <w:tc>
          <w:tcPr>
            <w:tcW w:w="593"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r>
      <w:tr>
        <w:trPr/>
        <w:tc>
          <w:tcPr>
            <w:tcW w:w="1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32"/>
              </w:rPr>
            </w:pPr>
            <w:r>
              <w:rPr>
                <w:rFonts w:ascii="Times New Roman;serif" w:hAnsi="Times New Roman;serif"/>
                <w:b/>
                <w:color w:val="000000"/>
                <w:sz w:val="32"/>
              </w:rPr>
              <w:t>Comcast Corporation</w:t>
            </w:r>
          </w:p>
        </w:tc>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(Exact Name of Registrant</w:t>
              <w:br/>
              <w:t>as Specified in its Charter)</w:t>
            </w:r>
          </w:p>
        </w:tc>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Pennsylvania</w:t>
            </w:r>
          </w:p>
        </w:tc>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 Incorporation)</w:t>
            </w:r>
          </w:p>
        </w:tc>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001-32871</w:t>
            </w:r>
          </w:p>
        </w:tc>
        <w:tc>
          <w:tcPr>
            <w:tcW w:w="1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27-0000798</w:t>
            </w:r>
          </w:p>
        </w:tc>
      </w:tr>
      <w:tr>
        <w:trPr/>
        <w:tc>
          <w:tcPr>
            <w:tcW w:w="292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(Commission File Number)</w:t>
            </w:r>
          </w:p>
        </w:tc>
        <w:tc>
          <w:tcPr>
            <w:tcW w:w="1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(IRS Employer Identification No.)</w:t>
            </w:r>
          </w:p>
        </w:tc>
      </w:tr>
      <w:tr>
        <w:trPr/>
        <w:tc>
          <w:tcPr>
            <w:tcW w:w="1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One Comcast Center</w:t>
            </w:r>
          </w:p>
        </w:tc>
        <w:tc>
          <w:tcPr>
            <w:tcW w:w="1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Philadelphia,</w:t>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w:t>
            </w:r>
          </w:p>
        </w:tc>
        <w:tc>
          <w:tcPr>
            <w:tcW w:w="1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19103-2838</w:t>
            </w:r>
          </w:p>
        </w:tc>
      </w:tr>
      <w:tr>
        <w:trPr/>
        <w:tc>
          <w:tcPr>
            <w:tcW w:w="292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w:t>
            </w:r>
          </w:p>
        </w:tc>
        <w:tc>
          <w:tcPr>
            <w:tcW w:w="1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(Zip Code)</w:t>
            </w:r>
          </w:p>
        </w:tc>
      </w:tr>
    </w:tbl>
    <w:p>
      <w:pPr>
        <w:pStyle w:val="TextBody"/>
        <w:bidi w:val="0"/>
        <w:spacing w:lineRule="auto" w:line="288" w:before="0" w:after="0"/>
        <w:jc w:val="center"/>
        <w:rPr/>
      </w:pPr>
      <w:r>
        <w:rPr>
          <w:rFonts w:ascii="Times New Roman;serif" w:hAnsi="Times New Roman;serif"/>
          <w:b w:val="false"/>
          <w:color w:val="000000"/>
          <w:sz w:val="16"/>
        </w:rPr>
        <w:t xml:space="preserve">Registrant’s telephone number, including area code: </w:t>
      </w:r>
      <w:r>
        <w:rPr>
          <w:rFonts w:ascii="Times New Roman;serif" w:hAnsi="Times New Roman;serif"/>
          <w:b/>
          <w:color w:val="000000"/>
          <w:sz w:val="20"/>
        </w:rPr>
        <w:t xml:space="preserve">(215) 286-1700 </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(Former Name or Former Address, if Changed Since Last Report)</w:t>
      </w:r>
    </w:p>
    <w:p>
      <w:pPr>
        <w:pStyle w:val="TextBody"/>
        <w:bidi w:val="0"/>
        <w:spacing w:before="0" w:after="0"/>
        <w:jc w:val="left"/>
        <w:rPr/>
      </w:pPr>
      <w:r>
        <w:rPr/>
      </w:r>
    </w:p>
    <w:p>
      <w:pPr>
        <w:pStyle w:val="TextBody"/>
        <w:bidi w:val="0"/>
        <w:spacing w:lineRule="auto" w:line="264" w:before="0" w:after="200"/>
        <w:jc w:val="left"/>
        <w:rPr>
          <w:rFonts w:ascii="Times New Roman;serif" w:hAnsi="Times New Roman;serif"/>
          <w:b w:val="false"/>
          <w:color w:val="000000"/>
          <w:sz w:val="16"/>
        </w:rPr>
      </w:pPr>
      <w:r>
        <w:rPr>
          <w:rFonts w:ascii="Times New Roman;serif" w:hAnsi="Times New Roman;serif"/>
          <w:b w:val="false"/>
          <w:color w:val="000000"/>
          <w:sz w:val="16"/>
        </w:rPr>
        <w:t>Check the appropriate box below if the Form 8-K filing is intended to simultaneously satisfy the filing obligation of the registrant under any of the following provisions:</w:t>
      </w:r>
    </w:p>
    <w:p>
      <w:pPr>
        <w:pStyle w:val="TextBody"/>
        <w:bidi w:val="0"/>
        <w:spacing w:lineRule="auto" w:line="264" w:before="0" w:after="200"/>
        <w:jc w:val="left"/>
        <w:rPr/>
      </w:pPr>
      <w:r>
        <w:rPr>
          <w:color w:val="000000"/>
        </w:rPr>
        <w:t xml:space="preserve">☐ </w:t>
      </w:r>
      <w:r>
        <w:rPr>
          <w:rFonts w:ascii="Times New Roman;serif" w:hAnsi="Times New Roman;serif"/>
          <w:b w:val="false"/>
          <w:color w:val="000000"/>
          <w:sz w:val="16"/>
        </w:rPr>
        <w:t>Written communications pursuant to Rule 425 under the Securities Act (17 CFR 230.425)</w:t>
      </w:r>
    </w:p>
    <w:p>
      <w:pPr>
        <w:pStyle w:val="TextBody"/>
        <w:bidi w:val="0"/>
        <w:spacing w:lineRule="auto" w:line="264" w:before="0" w:after="200"/>
        <w:jc w:val="left"/>
        <w:rPr/>
      </w:pPr>
      <w:r>
        <w:rPr>
          <w:color w:val="000000"/>
        </w:rPr>
        <w:t xml:space="preserve">☐ </w:t>
      </w:r>
      <w:r>
        <w:rPr>
          <w:rFonts w:ascii="Times New Roman;serif" w:hAnsi="Times New Roman;serif"/>
          <w:b w:val="false"/>
          <w:color w:val="000000"/>
          <w:sz w:val="16"/>
        </w:rPr>
        <w:t>Soliciting material pursuant to Rule 14a-12 under the Exchange Act (17 CFR 240.14a-12)</w:t>
      </w:r>
    </w:p>
    <w:p>
      <w:pPr>
        <w:pStyle w:val="TextBody"/>
        <w:bidi w:val="0"/>
        <w:spacing w:lineRule="auto" w:line="264" w:before="0" w:after="200"/>
        <w:jc w:val="left"/>
        <w:rPr/>
      </w:pPr>
      <w:r>
        <w:rPr>
          <w:color w:val="000000"/>
        </w:rPr>
        <w:t xml:space="preserve">☐ </w:t>
      </w:r>
      <w:r>
        <w:rPr>
          <w:rFonts w:ascii="Times New Roman;serif" w:hAnsi="Times New Roman;serif"/>
          <w:b w:val="false"/>
          <w:color w:val="000000"/>
          <w:sz w:val="16"/>
        </w:rPr>
        <w:t>Pre-commencement communications pursuant to Rule 14d-2(b) under the Exchange Act (17 CFR 240.14d-2(b))</w:t>
      </w:r>
    </w:p>
    <w:p>
      <w:pPr>
        <w:pStyle w:val="TextBody"/>
        <w:bidi w:val="0"/>
        <w:spacing w:lineRule="auto" w:line="264" w:before="0" w:after="200"/>
        <w:jc w:val="left"/>
        <w:rPr/>
      </w:pPr>
      <w:r>
        <w:rPr>
          <w:color w:val="000000"/>
        </w:rPr>
        <w:t xml:space="preserve">☐ </w:t>
      </w:r>
      <w:r>
        <w:rPr>
          <w:rFonts w:ascii="Times New Roman;serif" w:hAnsi="Times New Roman;serif"/>
          <w:b w:val="false"/>
          <w:color w:val="000000"/>
          <w:sz w:val="16"/>
        </w:rPr>
        <w:t>Pre-commencement communications pursuant to Rule 13e-4(c) under the Exchange Act (17 CFR 240.13e-4(c))</w:t>
      </w:r>
    </w:p>
    <w:tbl>
      <w:tblPr>
        <w:tblW w:w="10205" w:type="dxa"/>
        <w:jc w:val="center"/>
        <w:tblInd w:w="0" w:type="dxa"/>
        <w:tblLayout w:type="fixed"/>
        <w:tblCellMar>
          <w:top w:w="28" w:type="dxa"/>
          <w:left w:w="28" w:type="dxa"/>
          <w:bottom w:w="28" w:type="dxa"/>
          <w:right w:w="28" w:type="dxa"/>
        </w:tblCellMar>
      </w:tblPr>
      <w:tblGrid>
        <w:gridCol w:w="1423"/>
        <w:gridCol w:w="1230"/>
        <w:gridCol w:w="1230"/>
        <w:gridCol w:w="259"/>
        <w:gridCol w:w="259"/>
        <w:gridCol w:w="259"/>
        <w:gridCol w:w="473"/>
        <w:gridCol w:w="466"/>
        <w:gridCol w:w="462"/>
        <w:gridCol w:w="259"/>
        <w:gridCol w:w="259"/>
        <w:gridCol w:w="259"/>
        <w:gridCol w:w="983"/>
        <w:gridCol w:w="983"/>
        <w:gridCol w:w="1401"/>
      </w:tblGrid>
      <w:tr>
        <w:trPr/>
        <w:tc>
          <w:tcPr>
            <w:tcW w:w="1423"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40" w:after="283"/>
              <w:jc w:val="left"/>
              <w:rPr>
                <w:rFonts w:ascii="Times New Roman;serif" w:hAnsi="Times New Roman;serif"/>
                <w:b w:val="false"/>
                <w:color w:val="000000"/>
                <w:sz w:val="16"/>
              </w:rPr>
            </w:pPr>
            <w:r>
              <w:rPr>
                <w:rFonts w:ascii="Times New Roman;serif" w:hAnsi="Times New Roman;serif"/>
                <w:b w:val="false"/>
                <w:color w:val="000000"/>
                <w:sz w:val="16"/>
              </w:rPr>
              <w:t>Securities registered pursuant to Section 12(b) of the Act:</w:t>
            </w:r>
          </w:p>
        </w:tc>
      </w:tr>
      <w:tr>
        <w:trPr/>
        <w:tc>
          <w:tcPr>
            <w:tcW w:w="38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77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38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Class A Common Stock, $0.01 par value</w:t>
            </w:r>
          </w:p>
        </w:tc>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CMCSA</w:t>
            </w:r>
          </w:p>
        </w:tc>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The Nasdaq Stock Market LLC</w:t>
            </w:r>
          </w:p>
        </w:tc>
      </w:tr>
      <w:tr>
        <w:trPr/>
        <w:tc>
          <w:tcPr>
            <w:tcW w:w="38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0.250% Notes due 2027</w:t>
            </w:r>
          </w:p>
        </w:tc>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CMCS27</w:t>
            </w:r>
          </w:p>
        </w:tc>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The Nasdaq Stock Market LLC</w:t>
            </w:r>
          </w:p>
        </w:tc>
      </w:tr>
      <w:tr>
        <w:trPr/>
        <w:tc>
          <w:tcPr>
            <w:tcW w:w="38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1.500% Notes due 2029</w:t>
            </w:r>
          </w:p>
        </w:tc>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CMCS29</w:t>
            </w:r>
          </w:p>
        </w:tc>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The Nasdaq Stock Market LLC</w:t>
            </w:r>
          </w:p>
        </w:tc>
      </w:tr>
      <w:tr>
        <w:trPr/>
        <w:tc>
          <w:tcPr>
            <w:tcW w:w="38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0.250% Notes due 2029</w:t>
            </w:r>
          </w:p>
        </w:tc>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CMCS29A</w:t>
            </w:r>
          </w:p>
        </w:tc>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The Nasdaq Stock Market LLC</w:t>
            </w:r>
          </w:p>
        </w:tc>
      </w:tr>
      <w:tr>
        <w:trPr/>
        <w:tc>
          <w:tcPr>
            <w:tcW w:w="38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0.750% Notes due 2032</w:t>
            </w:r>
          </w:p>
        </w:tc>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CMCS32</w:t>
            </w:r>
          </w:p>
        </w:tc>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The Nasdaq Stock Market LLC</w:t>
            </w:r>
          </w:p>
        </w:tc>
      </w:tr>
      <w:tr>
        <w:trPr/>
        <w:tc>
          <w:tcPr>
            <w:tcW w:w="38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3.250% Notes due 2032</w:t>
            </w:r>
          </w:p>
        </w:tc>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CMCS32A</w:t>
            </w:r>
          </w:p>
        </w:tc>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The Nasdaq Stock Market LLC</w:t>
            </w:r>
          </w:p>
        </w:tc>
      </w:tr>
      <w:tr>
        <w:trPr/>
        <w:tc>
          <w:tcPr>
            <w:tcW w:w="38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1.875% Notes due 2036</w:t>
            </w:r>
          </w:p>
        </w:tc>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CMCS36</w:t>
            </w:r>
          </w:p>
        </w:tc>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The Nasdaq Stock Market LLC</w:t>
            </w:r>
          </w:p>
        </w:tc>
      </w:tr>
      <w:tr>
        <w:trPr/>
        <w:tc>
          <w:tcPr>
            <w:tcW w:w="38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3.550% Notes due 2036</w:t>
            </w:r>
          </w:p>
        </w:tc>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CMCS36A</w:t>
            </w:r>
          </w:p>
        </w:tc>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The Nasdaq Stock Market LLC</w:t>
            </w:r>
          </w:p>
        </w:tc>
      </w:tr>
      <w:tr>
        <w:trPr/>
        <w:tc>
          <w:tcPr>
            <w:tcW w:w="38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1.250% Notes due 2040</w:t>
            </w:r>
          </w:p>
        </w:tc>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CMCS40</w:t>
            </w:r>
          </w:p>
        </w:tc>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The Nasdaq Stock Market LLC</w:t>
            </w:r>
          </w:p>
        </w:tc>
      </w:tr>
      <w:tr>
        <w:trPr/>
        <w:tc>
          <w:tcPr>
            <w:tcW w:w="38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5.250% Notes due 2040</w:t>
            </w:r>
          </w:p>
        </w:tc>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CMCS40A</w:t>
            </w:r>
          </w:p>
        </w:tc>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The Nasdaq Stock Market LLC</w:t>
            </w:r>
          </w:p>
        </w:tc>
      </w:tr>
      <w:tr>
        <w:trPr/>
        <w:tc>
          <w:tcPr>
            <w:tcW w:w="38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5.50% Notes due 2029</w:t>
            </w:r>
          </w:p>
        </w:tc>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CCGBP29</w:t>
            </w:r>
          </w:p>
        </w:tc>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New York Stock Exchange</w:t>
            </w:r>
          </w:p>
        </w:tc>
      </w:tr>
      <w:tr>
        <w:trPr/>
        <w:tc>
          <w:tcPr>
            <w:tcW w:w="38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 Exchangeable Subordinated Debentures due 2029</w:t>
            </w:r>
          </w:p>
        </w:tc>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CCZ</w:t>
            </w:r>
          </w:p>
        </w:tc>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New York Stock Exchange</w:t>
            </w:r>
          </w:p>
        </w:tc>
      </w:tr>
    </w:tbl>
    <w:p>
      <w:pPr>
        <w:pStyle w:val="TextBody"/>
        <w:bidi w:val="0"/>
        <w:spacing w:lineRule="auto" w:line="264" w:before="0" w:after="0"/>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64" w:before="0" w:after="0"/>
        <w:jc w:val="left"/>
        <w:rPr>
          <w:color w:val="000000"/>
        </w:rPr>
      </w:pPr>
      <w:r>
        <w:rPr>
          <w:color w:val="000000"/>
        </w:rPr>
        <w:t> </w:t>
      </w:r>
    </w:p>
    <w:p>
      <w:pPr>
        <w:pStyle w:val="TextBody"/>
        <w:bidi w:val="0"/>
        <w:spacing w:lineRule="auto" w:line="264" w:before="0" w:after="0"/>
        <w:jc w:val="left"/>
        <w:rPr/>
      </w:pPr>
      <w:r>
        <w:rPr>
          <w:rFonts w:ascii="Times New Roman;serif" w:hAnsi="Times New Roman;serif"/>
          <w:b w:val="false"/>
          <w:color w:val="000000"/>
          <w:sz w:val="16"/>
        </w:rPr>
        <w:t xml:space="preserve">Emerging growth company </w:t>
      </w:r>
      <w:r>
        <w:rPr>
          <w:color w:val="000000"/>
        </w:rPr>
        <w:t xml:space="preserve">☐ </w:t>
      </w:r>
    </w:p>
    <w:p>
      <w:pPr>
        <w:pStyle w:val="TextBody"/>
        <w:bidi w:val="0"/>
        <w:spacing w:before="0" w:after="0"/>
        <w:jc w:val="left"/>
        <w:rPr/>
      </w:pPr>
      <w:r>
        <w:rPr/>
      </w:r>
    </w:p>
    <w:p>
      <w:pPr>
        <w:pStyle w:val="TextBody"/>
        <w:bidi w:val="0"/>
        <w:spacing w:lineRule="auto" w:line="264" w:before="0" w:after="0"/>
        <w:jc w:val="left"/>
        <w:rPr/>
      </w:pPr>
      <w:r>
        <w:rPr>
          <w:rFonts w:ascii="Times New Roman;serif" w:hAnsi="Times New Roman;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32"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32"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32"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32"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32"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October 22, 2026, Comcast Corporation (“Comcast”) issued a press release reporting the results of its operations for the three and nine months ended September 30, 2026. The press release is attached hereto as Exhibit 99.1. Exhibit 99.2 sets forth the reasons Comcast believes that presentation of the non-GAAP financial measures contained in the press release provides useful information to investors regarding Comcast's results of operations and financial condition. To the extent material, Exhibit 99.2 also discloses the additional purposes, if any, for which Comcast's management uses these non-GAAP financial measures. A reconciliation of these non-GAAP financial measures with the most directly comparable GAAP financial measures is included in the press release itself. Comcast does not intend for this Item 2.02 or Exhibit 99.1 or Exhibit 99.2 to be treated as "filed" under the Securities Exchange Act of 1934, as amended, or incorporated by reference into its filings under the Securities Act of 1933, as amended.</w:t>
      </w:r>
    </w:p>
    <w:p>
      <w:pPr>
        <w:pStyle w:val="TextBody"/>
        <w:bidi w:val="0"/>
        <w:spacing w:before="180" w:after="283"/>
        <w:jc w:val="left"/>
        <w:rPr/>
      </w:pPr>
      <w:r>
        <w:rPr/>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Exhibits</w:t>
      </w:r>
    </w:p>
    <w:tbl>
      <w:tblPr>
        <w:tblW w:w="9060" w:type="dxa"/>
        <w:jc w:val="left"/>
        <w:tblInd w:w="0" w:type="dxa"/>
        <w:tblLayout w:type="fixed"/>
        <w:tblCellMar>
          <w:top w:w="28" w:type="dxa"/>
          <w:left w:w="28" w:type="dxa"/>
          <w:bottom w:w="28" w:type="dxa"/>
          <w:right w:w="28" w:type="dxa"/>
        </w:tblCellMar>
      </w:tblPr>
      <w:tblGrid>
        <w:gridCol w:w="124"/>
        <w:gridCol w:w="109"/>
        <w:gridCol w:w="109"/>
        <w:gridCol w:w="489"/>
        <w:gridCol w:w="489"/>
        <w:gridCol w:w="491"/>
        <w:gridCol w:w="109"/>
        <w:gridCol w:w="109"/>
        <w:gridCol w:w="109"/>
        <w:gridCol w:w="1360"/>
        <w:gridCol w:w="1360"/>
        <w:gridCol w:w="1364"/>
        <w:gridCol w:w="411"/>
        <w:gridCol w:w="411"/>
        <w:gridCol w:w="411"/>
        <w:gridCol w:w="411"/>
        <w:gridCol w:w="411"/>
        <w:gridCol w:w="41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 xml:space="preserve">Exhibit </w:t>
            </w:r>
            <w:r>
              <w:rPr>
                <w:rFonts w:ascii="Times New Roman;serif" w:hAnsi="Times New Roman;serif"/>
                <w:b/>
                <w:color w:val="000000"/>
                <w:sz w:val="20"/>
                <w:u w:val="single"/>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Description</w:t>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991-9302026.htm">
              <w:r>
                <w:rPr>
                  <w:rStyle w:val="InternetLink"/>
                  <w:rFonts w:ascii="Times New Roman;serif" w:hAnsi="Times New Roman;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0"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ex991-9302026.htm">
              <w:r>
                <w:rPr>
                  <w:rStyle w:val="InternetLink"/>
                  <w:rFonts w:ascii="Times New Roman;serif" w:hAnsi="Times New Roman;serif"/>
                  <w:b w:val="false"/>
                  <w:color w:val="000080"/>
                  <w:sz w:val="20"/>
                  <w:u w:val="single"/>
                </w:rPr>
                <w:t xml:space="preserve">Comcast Corporation press release dated </w:t>
              </w:r>
            </w:hyperlink>
            <w:hyperlink w:anchor="ex991-9302026.htm">
              <w:r>
                <w:rPr>
                  <w:rStyle w:val="InternetLink"/>
                  <w:rFonts w:ascii="Times New Roman;serif" w:hAnsi="Times New Roman;serif"/>
                  <w:b w:val="false"/>
                  <w:color w:val="000080"/>
                  <w:sz w:val="20"/>
                  <w:u w:val="single"/>
                </w:rPr>
                <w:t>October</w:t>
              </w:r>
            </w:hyperlink>
            <w:hyperlink w:anchor="ex991-9302026.htm">
              <w:r>
                <w:rPr>
                  <w:rStyle w:val="InternetLink"/>
                  <w:rFonts w:ascii="Times New Roman;serif" w:hAnsi="Times New Roman;serif"/>
                  <w:b w:val="false"/>
                  <w:color w:val="000080"/>
                  <w:sz w:val="20"/>
                  <w:u w:val="single"/>
                </w:rPr>
                <w:t xml:space="preserve"> 2</w:t>
              </w:r>
            </w:hyperlink>
            <w:hyperlink w:anchor="ex991-9302026.htm">
              <w:r>
                <w:rPr>
                  <w:rStyle w:val="InternetLink"/>
                  <w:rFonts w:ascii="Times New Roman;serif" w:hAnsi="Times New Roman;serif"/>
                  <w:b w:val="false"/>
                  <w:color w:val="000080"/>
                  <w:sz w:val="20"/>
                  <w:u w:val="single"/>
                </w:rPr>
                <w:t>2</w:t>
              </w:r>
            </w:hyperlink>
            <w:hyperlink w:anchor="ex991-9302026.htm">
              <w:r>
                <w:rPr>
                  <w:rStyle w:val="InternetLink"/>
                  <w:rFonts w:ascii="Times New Roman;serif" w:hAnsi="Times New Roman;serif"/>
                  <w:b w:val="false"/>
                  <w:color w:val="000080"/>
                  <w:sz w:val="20"/>
                  <w:u w:val="single"/>
                </w:rPr>
                <w:t>, 2026.</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992-9302026.htm">
              <w:r>
                <w:rPr>
                  <w:rStyle w:val="InternetLink"/>
                  <w:rFonts w:ascii="Times New Roman;serif" w:hAnsi="Times New Roman;serif"/>
                  <w:b w:val="false"/>
                  <w:color w:val="0000FF"/>
                  <w:sz w:val="20"/>
                  <w:u w:val="single"/>
                </w:rPr>
                <w:t>99.2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0"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ex992-9302026.htm">
              <w:r>
                <w:rPr>
                  <w:rStyle w:val="InternetLink"/>
                  <w:rFonts w:ascii="Times New Roman;serif" w:hAnsi="Times New Roman;serif"/>
                  <w:b w:val="false"/>
                  <w:color w:val="0000FF"/>
                  <w:sz w:val="20"/>
                  <w:u w:val="single"/>
                </w:rPr>
                <w:t>Explanation of Non-GAAP and Other Financial Measures.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0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8585" w:type="dxa"/>
        <w:jc w:val="center"/>
        <w:tblInd w:w="0" w:type="dxa"/>
        <w:tblLayout w:type="fixed"/>
        <w:tblCellMar>
          <w:top w:w="28" w:type="dxa"/>
          <w:left w:w="28" w:type="dxa"/>
          <w:bottom w:w="28" w:type="dxa"/>
          <w:right w:w="28" w:type="dxa"/>
        </w:tblCellMar>
      </w:tblPr>
      <w:tblGrid>
        <w:gridCol w:w="200"/>
        <w:gridCol w:w="177"/>
        <w:gridCol w:w="178"/>
        <w:gridCol w:w="504"/>
        <w:gridCol w:w="504"/>
        <w:gridCol w:w="506"/>
        <w:gridCol w:w="109"/>
        <w:gridCol w:w="109"/>
        <w:gridCol w:w="109"/>
        <w:gridCol w:w="210"/>
        <w:gridCol w:w="210"/>
        <w:gridCol w:w="210"/>
        <w:gridCol w:w="645"/>
        <w:gridCol w:w="645"/>
        <w:gridCol w:w="645"/>
        <w:gridCol w:w="645"/>
        <w:gridCol w:w="645"/>
        <w:gridCol w:w="645"/>
        <w:gridCol w:w="489"/>
        <w:gridCol w:w="489"/>
        <w:gridCol w:w="711"/>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r>
      <w:tr>
        <w:trPr/>
        <w:tc>
          <w:tcPr>
            <w:tcW w:w="23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9"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COMCAST CORPORATION</w:t>
            </w:r>
          </w:p>
        </w:tc>
      </w:tr>
      <w:tr>
        <w:trPr/>
        <w:tc>
          <w:tcPr>
            <w:tcW w:w="20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October 22,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55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Daniel C. Murdock</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Daniel C. Murdock</w:t>
            </w:r>
          </w:p>
        </w:tc>
        <w:tc>
          <w:tcPr>
            <w:tcW w:w="16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Chief Accounting Officer and Controller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Accounting Officer)</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48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5467" w:type="dxa"/>
        <w:jc w:val="center"/>
        <w:tblInd w:w="0" w:type="dxa"/>
        <w:tblLayout w:type="fixed"/>
        <w:tblCellMar>
          <w:top w:w="28" w:type="dxa"/>
          <w:left w:w="28" w:type="dxa"/>
          <w:bottom w:w="28" w:type="dxa"/>
          <w:right w:w="28" w:type="dxa"/>
        </w:tblCellMar>
      </w:tblPr>
      <w:tblGrid>
        <w:gridCol w:w="1124"/>
        <w:gridCol w:w="988"/>
        <w:gridCol w:w="989"/>
        <w:gridCol w:w="109"/>
        <w:gridCol w:w="109"/>
        <w:gridCol w:w="109"/>
        <w:gridCol w:w="597"/>
        <w:gridCol w:w="597"/>
        <w:gridCol w:w="845"/>
      </w:tblGrid>
      <w:tr>
        <w:trPr/>
        <w:tc>
          <w:tcPr>
            <w:tcW w:w="1124"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r>
      <w:tr>
        <w:trPr/>
        <w:tc>
          <w:tcPr>
            <w:tcW w:w="3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1"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000000"/>
              </w:rPr>
              <w:t>          </w:t>
            </w:r>
            <w:r>
              <w:rPr/>
              <w:drawing>
                <wp:inline distT="0" distB="0" distL="0" distR="0">
                  <wp:extent cx="1524000" cy="60007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524000" cy="600075"/>
                          </a:xfrm>
                          <a:prstGeom prst="rect">
                            <a:avLst/>
                          </a:prstGeom>
                        </pic:spPr>
                      </pic:pic>
                    </a:graphicData>
                  </a:graphic>
                </wp:inline>
              </w:drawing>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PRESS RELEASE</w:t>
            </w:r>
          </w:p>
        </w:tc>
      </w:tr>
    </w:tbl>
    <w:p>
      <w:pPr>
        <w:pStyle w:val="TextBody"/>
        <w:bidi w:val="0"/>
        <w:spacing w:lineRule="auto" w:line="288" w:before="0" w:after="100"/>
        <w:jc w:val="center"/>
        <w:rPr>
          <w:rFonts w:ascii="Helvetica;sans-serif" w:hAnsi="Helvetica;sans-serif"/>
          <w:b/>
          <w:color w:val="000000"/>
          <w:sz w:val="24"/>
        </w:rPr>
      </w:pPr>
      <w:r>
        <w:rPr>
          <w:rFonts w:ascii="Helvetica;sans-serif" w:hAnsi="Helvetica;sans-serif"/>
          <w:b/>
          <w:color w:val="000000"/>
          <w:sz w:val="24"/>
        </w:rPr>
        <w:t>COMCAST REPORTS 3rd QUARTER 2026 RESULTS</w:t>
      </w:r>
    </w:p>
    <w:p>
      <w:pPr>
        <w:pStyle w:val="TextBody"/>
        <w:bidi w:val="0"/>
        <w:spacing w:lineRule="auto" w:line="288" w:before="0" w:after="100"/>
        <w:jc w:val="both"/>
        <w:rPr>
          <w:rFonts w:ascii="Helvetica;sans-serif" w:hAnsi="Helvetica;sans-serif"/>
          <w:b w:val="false"/>
          <w:color w:val="000000"/>
          <w:sz w:val="20"/>
        </w:rPr>
      </w:pPr>
      <w:r>
        <w:rPr>
          <w:rFonts w:ascii="Helvetica;sans-serif" w:hAnsi="Helvetica;sans-serif"/>
          <w:b w:val="false"/>
          <w:color w:val="000000"/>
          <w:sz w:val="20"/>
        </w:rPr>
        <w:t>PHILADELPHIA - October 22, 2026… Comcast Corporation (NASDAQ: CMCSA) today reported results for the quarter ended September 30, 2026.</w:t>
      </w:r>
    </w:p>
    <w:p>
      <w:pPr>
        <w:pStyle w:val="TextBody"/>
        <w:bidi w:val="0"/>
        <w:spacing w:lineRule="auto" w:line="268" w:before="0" w:after="0"/>
        <w:jc w:val="both"/>
        <w:rPr/>
      </w:pPr>
      <w:r>
        <w:rPr>
          <w:color w:val="000000"/>
        </w:rPr>
        <w:t>“</w:t>
      </w:r>
      <w:r>
        <w:rPr>
          <w:rFonts w:ascii="Helvetica;sans-serif" w:hAnsi="Helvetica;sans-serif"/>
          <w:b w:val="false"/>
          <w:i/>
          <w:color w:val="000000"/>
          <w:sz w:val="20"/>
        </w:rPr>
        <w:t>We are taking decisive steps to strengthen our businesses and unlock the full potential of their structural advantages,</w:t>
      </w:r>
      <w:r>
        <w:rPr>
          <w:rFonts w:ascii="Helvetica;sans-serif" w:hAnsi="Helvetica;sans-serif"/>
          <w:b w:val="false"/>
          <w:color w:val="000000"/>
          <w:sz w:val="20"/>
        </w:rPr>
        <w:t>" said Brian L. Roberts and Mike Cavanagh, co-CEOs of Comcast Corporation. "</w:t>
      </w:r>
      <w:r>
        <w:rPr>
          <w:rFonts w:ascii="Helvetica;sans-serif" w:hAnsi="Helvetica;sans-serif"/>
          <w:b w:val="false"/>
          <w:i/>
          <w:color w:val="000000"/>
          <w:sz w:val="20"/>
        </w:rPr>
        <w:t>In Connectivity &amp; Platforms, our near-term financial results reflect the investments we're making to navigate an increasingly dynamic environment. We're encouraged by improving customer satisfaction, strong conversion of free wireless lines to paid relationships, growing adoption of premium wireless plans across our 10.6 million total wireless lines and healthy growth in Business Services, led by Enterprise, where there is substantial opportunity ahead. At the same time, we're transforming our operations to move faster, improve efficiency and fully capitalize on the strength of our businesses. In Content &amp; Experiences, Peacock delivered its second consecutive profitable quarter, generating $261 million in Adjusted EBITDA on $1.8 billion in revenue, driven by strong growth in distribution, while Universal surpassed $5 billion at the global box office, led by the record-breaking success of The Odyssey, now Universal's highest-grossing film of all time. Despite near-term cyclical headwinds in Theme Parks, we remain confident in the business's long-term growth potential. We generated $4.2 billion in free cash flow and are making meaningful progress on the separation of NBCUniversal and Sky, which remains on track to create two independent companies with the financial strength and flexibility to pursue their respective growth strategies.</w:t>
      </w:r>
      <w:r>
        <w:rPr>
          <w:rFonts w:ascii="Helvetica;sans-serif" w:hAnsi="Helvetica;sans-serif"/>
          <w:b w:val="false"/>
          <w:color w:val="000000"/>
          <w:sz w:val="20"/>
        </w:rPr>
        <w:t xml:space="preserve">" </w:t>
      </w:r>
    </w:p>
    <w:tbl>
      <w:tblPr>
        <w:tblW w:w="6837" w:type="dxa"/>
        <w:jc w:val="left"/>
        <w:tblInd w:w="0" w:type="dxa"/>
        <w:tblLayout w:type="fixed"/>
        <w:tblCellMar>
          <w:top w:w="28" w:type="dxa"/>
          <w:left w:w="28" w:type="dxa"/>
          <w:bottom w:w="28" w:type="dxa"/>
          <w:right w:w="28" w:type="dxa"/>
        </w:tblCellMar>
      </w:tblPr>
      <w:tblGrid>
        <w:gridCol w:w="124"/>
        <w:gridCol w:w="109"/>
        <w:gridCol w:w="109"/>
        <w:gridCol w:w="1053"/>
        <w:gridCol w:w="1053"/>
        <w:gridCol w:w="1059"/>
        <w:gridCol w:w="368"/>
        <w:gridCol w:w="368"/>
        <w:gridCol w:w="156"/>
        <w:gridCol w:w="368"/>
        <w:gridCol w:w="368"/>
        <w:gridCol w:w="156"/>
        <w:gridCol w:w="239"/>
        <w:gridCol w:w="242"/>
        <w:gridCol w:w="366"/>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12"/>
              </w:rPr>
            </w:pPr>
            <w:r>
              <w:rPr>
                <w:rFonts w:ascii="Helvetica;sans-serif" w:hAnsi="Helvetica;sans-serif"/>
                <w:b w:val="false"/>
                <w:i/>
                <w:color w:val="000000"/>
                <w:sz w:val="12"/>
              </w:rPr>
              <w:t>($ in millions, except per share data)</w:t>
            </w:r>
          </w:p>
        </w:tc>
        <w:tc>
          <w:tcPr>
            <w:tcW w:w="89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1" w:type="dxa"/>
            <w:gridSpan w:val="9"/>
            <w:tcBorders/>
            <w:shd w:fill="D9D9D6"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6"/>
                <w:u w:val="single"/>
              </w:rPr>
            </w:pPr>
            <w:r>
              <w:rPr>
                <w:rFonts w:ascii="Helvetica;sans-serif" w:hAnsi="Helvetica;sans-serif"/>
                <w:b w:val="false"/>
                <w:color w:val="000000"/>
                <w:sz w:val="16"/>
                <w:u w:val="single"/>
              </w:rPr>
              <w:t>3rd Quarter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Consolidated Results</w:t>
            </w:r>
          </w:p>
        </w:tc>
        <w:tc>
          <w:tcPr>
            <w:tcW w:w="892"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u w:val="single"/>
              </w:rPr>
            </w:pPr>
            <w:r>
              <w:rPr>
                <w:rFonts w:ascii="Helvetica;sans-serif" w:hAnsi="Helvetica;sans-serif"/>
                <w:b w:val="false"/>
                <w:color w:val="000000"/>
                <w:sz w:val="16"/>
                <w:u w:val="single"/>
              </w:rPr>
              <w:t>2026</w:t>
            </w:r>
          </w:p>
        </w:tc>
        <w:tc>
          <w:tcPr>
            <w:tcW w:w="892"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u w:val="single"/>
              </w:rPr>
            </w:pPr>
            <w:r>
              <w:rPr>
                <w:rFonts w:ascii="Helvetica;sans-serif" w:hAnsi="Helvetica;sans-serif"/>
                <w:b w:val="false"/>
                <w:color w:val="000000"/>
                <w:sz w:val="16"/>
                <w:u w:val="single"/>
              </w:rPr>
              <w:t>2025</w:t>
            </w:r>
          </w:p>
        </w:tc>
        <w:tc>
          <w:tcPr>
            <w:tcW w:w="847"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u w:val="single"/>
              </w:rPr>
            </w:pPr>
            <w:r>
              <w:rPr>
                <w:rFonts w:ascii="Helvetica;sans-serif" w:hAnsi="Helvetica;sans-serif"/>
                <w:b w:val="false"/>
                <w:color w:val="000000"/>
                <w:sz w:val="16"/>
                <w:u w:val="single"/>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 xml:space="preserve">Revenue </w:t>
            </w:r>
          </w:p>
        </w:tc>
        <w:tc>
          <w:tcPr>
            <w:tcW w:w="736"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$29,298 </w:t>
            </w:r>
          </w:p>
        </w:tc>
        <w:tc>
          <w:tcPr>
            <w:tcW w:w="156" w:type="dxa"/>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$31,198 </w:t>
            </w:r>
          </w:p>
        </w:tc>
        <w:tc>
          <w:tcPr>
            <w:tcW w:w="156" w:type="dxa"/>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(6.1</w:t>
            </w:r>
          </w:p>
        </w:tc>
        <w:tc>
          <w:tcPr>
            <w:tcW w:w="366" w:type="dxa"/>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shd w:fill="D9D9D6" w:val="clear"/>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i/>
                <w:color w:val="000000"/>
                <w:sz w:val="16"/>
              </w:rPr>
              <w:t>Pro Forma Revenue</w:t>
            </w:r>
            <w:r>
              <w:rPr>
                <w:rFonts w:ascii="Helvetica;sans-serif" w:hAnsi="Helvetica;sans-serif"/>
                <w:b w:val="false"/>
                <w:i/>
                <w:color w:val="000000"/>
                <w:sz w:val="10"/>
              </w:rPr>
              <w:t>1</w:t>
            </w:r>
          </w:p>
        </w:tc>
        <w:tc>
          <w:tcPr>
            <w:tcW w:w="736"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i/>
                <w:color w:val="000000"/>
                <w:sz w:val="16"/>
              </w:rPr>
            </w:pPr>
            <w:r>
              <w:rPr>
                <w:rFonts w:ascii="Helvetica;sans-serif" w:hAnsi="Helvetica;sans-serif"/>
                <w:b w:val="false"/>
                <w:i/>
                <w:color w:val="000000"/>
                <w:sz w:val="16"/>
              </w:rPr>
              <w:t>$29,298 </w:t>
            </w:r>
          </w:p>
        </w:tc>
        <w:tc>
          <w:tcPr>
            <w:tcW w:w="156" w:type="dxa"/>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i/>
                <w:color w:val="000000"/>
                <w:sz w:val="16"/>
              </w:rPr>
            </w:pPr>
            <w:r>
              <w:rPr>
                <w:rFonts w:ascii="Helvetica;sans-serif" w:hAnsi="Helvetica;sans-serif"/>
                <w:b w:val="false"/>
                <w:i/>
                <w:color w:val="000000"/>
                <w:sz w:val="16"/>
              </w:rPr>
              <w:t>$29,151 </w:t>
            </w:r>
          </w:p>
        </w:tc>
        <w:tc>
          <w:tcPr>
            <w:tcW w:w="156" w:type="dxa"/>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i/>
                <w:color w:val="000000"/>
                <w:sz w:val="16"/>
              </w:rPr>
            </w:pPr>
            <w:r>
              <w:rPr>
                <w:rFonts w:ascii="Helvetica;sans-serif" w:hAnsi="Helvetica;sans-serif"/>
                <w:b w:val="false"/>
                <w:i/>
                <w:color w:val="000000"/>
                <w:sz w:val="16"/>
              </w:rPr>
              <w:t>0.5</w:t>
            </w:r>
          </w:p>
        </w:tc>
        <w:tc>
          <w:tcPr>
            <w:tcW w:w="366" w:type="dxa"/>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16"/>
              </w:rPr>
            </w:pPr>
            <w:r>
              <w:rPr>
                <w:rFonts w:ascii="Helvetica;sans-serif" w:hAnsi="Helvetica;sans-serif"/>
                <w:b w:val="false"/>
                <w:i/>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op w:val="single" w:sz="8" w:space="0" w:color="DBDBDB"/>
              <w:left w:val="single" w:sz="8" w:space="0" w:color="DBDBDB"/>
            </w:tcBorders>
            <w:shd w:fill="D9D9D6" w:val="clear"/>
            <w:tcMar>
              <w:top w:w="3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Net Income Attributable to Comcast</w:t>
            </w:r>
          </w:p>
        </w:tc>
        <w:tc>
          <w:tcPr>
            <w:tcW w:w="736"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$3,448 </w:t>
            </w:r>
          </w:p>
        </w:tc>
        <w:tc>
          <w:tcPr>
            <w:tcW w:w="156" w:type="dxa"/>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$3,332 </w:t>
            </w:r>
          </w:p>
        </w:tc>
        <w:tc>
          <w:tcPr>
            <w:tcW w:w="156" w:type="dxa"/>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3.5</w:t>
            </w:r>
          </w:p>
        </w:tc>
        <w:tc>
          <w:tcPr>
            <w:tcW w:w="366" w:type="dxa"/>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op w:val="single" w:sz="8" w:space="0" w:color="DBDBDB"/>
            </w:tcBorders>
            <w:shd w:fill="D9D9D6" w:val="clear"/>
            <w:tcMar>
              <w:top w:w="3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16"/>
              </w:rPr>
              <w:t>Adjusted Net Income</w:t>
            </w:r>
            <w:r>
              <w:rPr>
                <w:rFonts w:ascii="Helvetica;sans-serif" w:hAnsi="Helvetica;sans-serif"/>
                <w:b w:val="false"/>
                <w:color w:val="000000"/>
                <w:sz w:val="10"/>
              </w:rPr>
              <w:t>2</w:t>
            </w:r>
          </w:p>
        </w:tc>
        <w:tc>
          <w:tcPr>
            <w:tcW w:w="736"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$3,824 </w:t>
            </w:r>
          </w:p>
        </w:tc>
        <w:tc>
          <w:tcPr>
            <w:tcW w:w="156" w:type="dxa"/>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$4,125 </w:t>
            </w:r>
          </w:p>
        </w:tc>
        <w:tc>
          <w:tcPr>
            <w:tcW w:w="156" w:type="dxa"/>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(7.3</w:t>
            </w:r>
          </w:p>
        </w:tc>
        <w:tc>
          <w:tcPr>
            <w:tcW w:w="366" w:type="dxa"/>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shd w:fill="D9D9D6" w:val="clear"/>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16"/>
              </w:rPr>
              <w:t>Adjusted EBITDA</w:t>
            </w:r>
            <w:r>
              <w:rPr>
                <w:rFonts w:ascii="Helvetica;sans-serif" w:hAnsi="Helvetica;sans-serif"/>
                <w:b w:val="false"/>
                <w:color w:val="000000"/>
                <w:sz w:val="10"/>
              </w:rPr>
              <w:t>3</w:t>
            </w:r>
          </w:p>
        </w:tc>
        <w:tc>
          <w:tcPr>
            <w:tcW w:w="736"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$9,106 </w:t>
            </w:r>
          </w:p>
        </w:tc>
        <w:tc>
          <w:tcPr>
            <w:tcW w:w="156" w:type="dxa"/>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$9,669 </w:t>
            </w:r>
          </w:p>
        </w:tc>
        <w:tc>
          <w:tcPr>
            <w:tcW w:w="156" w:type="dxa"/>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(5.8</w:t>
            </w:r>
          </w:p>
        </w:tc>
        <w:tc>
          <w:tcPr>
            <w:tcW w:w="366" w:type="dxa"/>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shd w:fill="D9D9D6" w:val="clear"/>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i/>
                <w:color w:val="000000"/>
                <w:sz w:val="16"/>
              </w:rPr>
              <w:t>Pro Forma Adjusted EBITDA</w:t>
            </w:r>
            <w:r>
              <w:rPr>
                <w:rFonts w:ascii="Helvetica;sans-serif" w:hAnsi="Helvetica;sans-serif"/>
                <w:b w:val="false"/>
                <w:i/>
                <w:color w:val="000000"/>
                <w:sz w:val="10"/>
              </w:rPr>
              <w:t>1</w:t>
            </w:r>
          </w:p>
        </w:tc>
        <w:tc>
          <w:tcPr>
            <w:tcW w:w="736"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i/>
                <w:color w:val="000000"/>
                <w:sz w:val="16"/>
              </w:rPr>
            </w:pPr>
            <w:r>
              <w:rPr>
                <w:rFonts w:ascii="Helvetica;sans-serif" w:hAnsi="Helvetica;sans-serif"/>
                <w:b w:val="false"/>
                <w:i/>
                <w:color w:val="000000"/>
                <w:sz w:val="16"/>
              </w:rPr>
              <w:t>$9,106 </w:t>
            </w:r>
          </w:p>
        </w:tc>
        <w:tc>
          <w:tcPr>
            <w:tcW w:w="156" w:type="dxa"/>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i/>
                <w:color w:val="000000"/>
                <w:sz w:val="16"/>
              </w:rPr>
            </w:pPr>
            <w:r>
              <w:rPr>
                <w:rFonts w:ascii="Helvetica;sans-serif" w:hAnsi="Helvetica;sans-serif"/>
                <w:b w:val="false"/>
                <w:i/>
                <w:color w:val="000000"/>
                <w:sz w:val="16"/>
              </w:rPr>
              <w:t>$9,038 </w:t>
            </w:r>
          </w:p>
        </w:tc>
        <w:tc>
          <w:tcPr>
            <w:tcW w:w="156" w:type="dxa"/>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i/>
                <w:color w:val="000000"/>
                <w:sz w:val="16"/>
              </w:rPr>
            </w:pPr>
            <w:r>
              <w:rPr>
                <w:rFonts w:ascii="Helvetica;sans-serif" w:hAnsi="Helvetica;sans-serif"/>
                <w:b w:val="false"/>
                <w:i/>
                <w:color w:val="000000"/>
                <w:sz w:val="16"/>
              </w:rPr>
              <w:t>0.8</w:t>
            </w:r>
          </w:p>
        </w:tc>
        <w:tc>
          <w:tcPr>
            <w:tcW w:w="366" w:type="dxa"/>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16"/>
              </w:rPr>
            </w:pPr>
            <w:r>
              <w:rPr>
                <w:rFonts w:ascii="Helvetica;sans-serif" w:hAnsi="Helvetica;sans-serif"/>
                <w:b w:val="false"/>
                <w:i/>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shd w:fill="D9D9D6" w:val="clear"/>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16"/>
              </w:rPr>
              <w:t>Earnings per Share</w:t>
            </w:r>
            <w:r>
              <w:rPr>
                <w:rFonts w:ascii="Helvetica;sans-serif" w:hAnsi="Helvetica;sans-serif"/>
                <w:b w:val="false"/>
                <w:color w:val="000000"/>
                <w:sz w:val="10"/>
              </w:rPr>
              <w:t>4</w:t>
            </w:r>
          </w:p>
        </w:tc>
        <w:tc>
          <w:tcPr>
            <w:tcW w:w="736"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$0.97 </w:t>
            </w:r>
          </w:p>
        </w:tc>
        <w:tc>
          <w:tcPr>
            <w:tcW w:w="156" w:type="dxa"/>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$0.90 </w:t>
            </w:r>
          </w:p>
        </w:tc>
        <w:tc>
          <w:tcPr>
            <w:tcW w:w="156" w:type="dxa"/>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7.2</w:t>
            </w:r>
          </w:p>
        </w:tc>
        <w:tc>
          <w:tcPr>
            <w:tcW w:w="366" w:type="dxa"/>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shd w:fill="D9D9D6" w:val="clear"/>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16"/>
              </w:rPr>
              <w:t>Adjusted Earnings per Share</w:t>
            </w:r>
            <w:r>
              <w:rPr>
                <w:rFonts w:ascii="Helvetica;sans-serif" w:hAnsi="Helvetica;sans-serif"/>
                <w:b w:val="false"/>
                <w:color w:val="000000"/>
                <w:sz w:val="10"/>
              </w:rPr>
              <w:t>2</w:t>
            </w:r>
            <w:r>
              <w:rPr>
                <w:color w:val="000000"/>
              </w:rPr>
              <w:t xml:space="preserve"> </w:t>
            </w:r>
          </w:p>
        </w:tc>
        <w:tc>
          <w:tcPr>
            <w:tcW w:w="736"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$1.07 </w:t>
            </w:r>
          </w:p>
        </w:tc>
        <w:tc>
          <w:tcPr>
            <w:tcW w:w="156" w:type="dxa"/>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$1.12 </w:t>
            </w:r>
          </w:p>
        </w:tc>
        <w:tc>
          <w:tcPr>
            <w:tcW w:w="156" w:type="dxa"/>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(4.0</w:t>
            </w:r>
          </w:p>
        </w:tc>
        <w:tc>
          <w:tcPr>
            <w:tcW w:w="366" w:type="dxa"/>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Net Cash Provided by Operating Activities</w:t>
            </w:r>
          </w:p>
        </w:tc>
        <w:tc>
          <w:tcPr>
            <w:tcW w:w="736"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$7,902 </w:t>
            </w:r>
          </w:p>
        </w:tc>
        <w:tc>
          <w:tcPr>
            <w:tcW w:w="156" w:type="dxa"/>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$8,693 </w:t>
            </w:r>
          </w:p>
        </w:tc>
        <w:tc>
          <w:tcPr>
            <w:tcW w:w="156" w:type="dxa"/>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(9.1</w:t>
            </w:r>
          </w:p>
        </w:tc>
        <w:tc>
          <w:tcPr>
            <w:tcW w:w="366" w:type="dxa"/>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shd w:fill="D9D9D6" w:val="clear"/>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16"/>
              </w:rPr>
              <w:t>Free Cash Flow</w:t>
            </w:r>
            <w:r>
              <w:rPr>
                <w:rFonts w:ascii="Helvetica;sans-serif" w:hAnsi="Helvetica;sans-serif"/>
                <w:b w:val="false"/>
                <w:color w:val="000000"/>
                <w:sz w:val="10"/>
              </w:rPr>
              <w:t>5</w:t>
            </w:r>
          </w:p>
        </w:tc>
        <w:tc>
          <w:tcPr>
            <w:tcW w:w="736"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$4,211 </w:t>
            </w:r>
          </w:p>
        </w:tc>
        <w:tc>
          <w:tcPr>
            <w:tcW w:w="156" w:type="dxa"/>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$4,945 </w:t>
            </w:r>
          </w:p>
        </w:tc>
        <w:tc>
          <w:tcPr>
            <w:tcW w:w="156" w:type="dxa"/>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(14.8</w:t>
            </w:r>
          </w:p>
        </w:tc>
        <w:tc>
          <w:tcPr>
            <w:tcW w:w="366" w:type="dxa"/>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165"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165"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Helvetica;sans-serif" w:hAnsi="Helvetica;sans-serif"/>
          <w:b w:val="false"/>
          <w:color w:val="000000"/>
          <w:sz w:val="16"/>
        </w:rPr>
      </w:pPr>
      <w:r>
        <w:rPr>
          <w:rFonts w:ascii="Helvetica;sans-serif" w:hAnsi="Helvetica;sans-serif"/>
          <w:b w:val="false"/>
          <w:color w:val="000000"/>
          <w:sz w:val="16"/>
        </w:rPr>
        <w:t xml:space="preserve">For additional detail on segment revenue and expenses, customer metrics, capital expenditures, and free cash flow, please refer to the trending schedule on Comcast’s Investor Relations website at www.cmcsa.com. </w:t>
      </w:r>
    </w:p>
    <w:p>
      <w:pPr>
        <w:pStyle w:val="TextBody"/>
        <w:bidi w:val="0"/>
        <w:spacing w:lineRule="auto" w:line="288" w:before="0" w:after="20"/>
        <w:jc w:val="both"/>
        <w:rPr>
          <w:rFonts w:ascii="Helvetica;sans-serif" w:hAnsi="Helvetica;sans-serif"/>
          <w:b/>
          <w:color w:val="000000"/>
          <w:sz w:val="20"/>
        </w:rPr>
      </w:pPr>
      <w:r>
        <w:rPr>
          <w:rFonts w:ascii="Helvetica;sans-serif" w:hAnsi="Helvetica;sans-serif"/>
          <w:b/>
          <w:color w:val="000000"/>
          <w:sz w:val="20"/>
        </w:rPr>
        <w:t>3rd Quarter 2026 Highlights:</w:t>
      </w:r>
    </w:p>
    <w:p>
      <w:pPr>
        <w:pStyle w:val="TextBody"/>
        <w:bidi w:val="0"/>
        <w:spacing w:lineRule="auto" w:line="288" w:before="0" w:after="60"/>
        <w:ind w:left="0" w:right="0" w:hanging="360"/>
        <w:jc w:val="both"/>
        <w:rPr/>
      </w:pPr>
      <w:r>
        <w:rPr>
          <w:color w:val="000000"/>
        </w:rPr>
        <w:t>•</w:t>
      </w:r>
      <w:r>
        <w:rPr>
          <w:rFonts w:ascii="Helvetica;sans-serif" w:hAnsi="Helvetica;sans-serif"/>
          <w:b w:val="false"/>
          <w:color w:val="000000"/>
          <w:sz w:val="20"/>
        </w:rPr>
        <w:t>Generated Consolidated Adjusted EBITDA of $9.1 Billion, Adjusted EPS of $1.07 and Free Cash Flow of $4.2 Billion</w:t>
      </w:r>
    </w:p>
    <w:p>
      <w:pPr>
        <w:pStyle w:val="TextBody"/>
        <w:bidi w:val="0"/>
        <w:spacing w:lineRule="auto" w:line="288" w:before="0" w:after="60"/>
        <w:ind w:left="0" w:right="0" w:hanging="360"/>
        <w:jc w:val="both"/>
        <w:rPr/>
      </w:pPr>
      <w:r>
        <w:rPr>
          <w:color w:val="000000"/>
        </w:rPr>
        <w:t>•</w:t>
      </w:r>
      <w:r>
        <w:rPr>
          <w:rFonts w:ascii="Helvetica;sans-serif" w:hAnsi="Helvetica;sans-serif"/>
          <w:b w:val="false"/>
          <w:color w:val="000000"/>
          <w:sz w:val="20"/>
        </w:rPr>
        <w:t>Paid $1.2 Billion in Dividend Payments to Shareholders</w:t>
      </w:r>
    </w:p>
    <w:p>
      <w:pPr>
        <w:pStyle w:val="TextBody"/>
        <w:bidi w:val="0"/>
        <w:spacing w:lineRule="auto" w:line="288" w:before="0" w:after="60"/>
        <w:ind w:left="0" w:right="0" w:hanging="360"/>
        <w:jc w:val="both"/>
        <w:rPr/>
      </w:pPr>
      <w:r>
        <w:rPr>
          <w:color w:val="000000"/>
        </w:rPr>
        <w:t>•</w:t>
      </w:r>
      <w:r>
        <w:rPr>
          <w:rFonts w:ascii="Helvetica;sans-serif" w:hAnsi="Helvetica;sans-serif"/>
          <w:b w:val="false"/>
          <w:color w:val="000000"/>
          <w:sz w:val="20"/>
        </w:rPr>
        <w:t>Domestic Wireless Customer Line Net Additions Were 368,000 and 1.6 Million Over the Last 12 Months; Total Wireless Lines Increased to 10.6 Million, Reaching Nearly 18% Penetration of Our Domestic Residential Broadband Customers and 7% of Total Addressable Wireless Lines in Our Footprint</w:t>
      </w:r>
    </w:p>
    <w:p>
      <w:pPr>
        <w:pStyle w:val="TextBody"/>
        <w:bidi w:val="0"/>
        <w:spacing w:lineRule="auto" w:line="288" w:before="0" w:after="60"/>
        <w:ind w:left="0" w:right="0" w:hanging="360"/>
        <w:jc w:val="both"/>
        <w:rPr/>
      </w:pPr>
      <w:r>
        <w:rPr>
          <w:color w:val="000000"/>
        </w:rPr>
        <w:t>•</w:t>
      </w:r>
      <w:r>
        <w:rPr>
          <w:rFonts w:ascii="Helvetica;sans-serif" w:hAnsi="Helvetica;sans-serif"/>
          <w:b w:val="false"/>
          <w:color w:val="000000"/>
          <w:sz w:val="20"/>
        </w:rPr>
        <w:t>Continued to Drive Adoption of Higher-Value Products; Nearly 45% of Our Broadband Customers Are Now on Gig-Plus Speed Tiers, Up Nearly 10 Percentage Points Year-over-Year, and Premium Unlimited Plans Represented Approximately 40% of Postpaid Phone Connects</w:t>
      </w:r>
    </w:p>
    <w:p>
      <w:pPr>
        <w:pStyle w:val="TextBody"/>
        <w:bidi w:val="0"/>
        <w:spacing w:lineRule="auto" w:line="288" w:before="0" w:after="60"/>
        <w:ind w:left="0" w:right="0" w:hanging="360"/>
        <w:jc w:val="both"/>
        <w:rPr/>
      </w:pPr>
      <w:r>
        <w:rPr>
          <w:color w:val="000000"/>
        </w:rPr>
        <w:t>•</w:t>
      </w:r>
      <w:r>
        <w:rPr>
          <w:rFonts w:ascii="Helvetica;sans-serif" w:hAnsi="Helvetica;sans-serif"/>
          <w:b w:val="false"/>
          <w:color w:val="000000"/>
          <w:sz w:val="20"/>
        </w:rPr>
        <w:t>Launched Xfinity Shield, a First-of-its-Kind Platform That Transforms Xfinity Wi-Fi into an Always-On Layer of Cybersecurity, Home and Family Protection</w:t>
      </w:r>
    </w:p>
    <w:p>
      <w:pPr>
        <w:pStyle w:val="TextBody"/>
        <w:bidi w:val="0"/>
        <w:spacing w:lineRule="auto" w:line="288" w:before="0" w:after="60"/>
        <w:ind w:left="0" w:right="0" w:hanging="360"/>
        <w:jc w:val="both"/>
        <w:rPr/>
      </w:pPr>
      <w:r>
        <w:rPr>
          <w:color w:val="000000"/>
        </w:rPr>
        <w:t>•</w:t>
      </w:r>
      <w:r>
        <w:rPr>
          <w:rFonts w:ascii="Helvetica;sans-serif" w:hAnsi="Helvetica;sans-serif"/>
          <w:b w:val="false"/>
          <w:color w:val="000000"/>
          <w:sz w:val="20"/>
        </w:rPr>
        <w:t xml:space="preserve">Business Services Connectivity Revenue Increased 2.7% to $2.6 Billion, EBITDA Increased 1.7% to $1.5 Billion and EBITDA Margin Was 55.9% </w:t>
      </w:r>
    </w:p>
    <w:p>
      <w:pPr>
        <w:pStyle w:val="TextBody"/>
        <w:bidi w:val="0"/>
        <w:spacing w:lineRule="auto" w:line="288" w:before="0" w:after="60"/>
        <w:ind w:left="0" w:right="0" w:hanging="360"/>
        <w:jc w:val="both"/>
        <w:rPr/>
      </w:pPr>
      <w:r>
        <w:rPr>
          <w:color w:val="000000"/>
        </w:rPr>
        <w:t>•</w:t>
      </w:r>
      <w:r>
        <w:rPr>
          <w:rFonts w:ascii="Helvetica;sans-serif" w:hAnsi="Helvetica;sans-serif"/>
          <w:b w:val="false"/>
          <w:color w:val="000000"/>
          <w:sz w:val="20"/>
        </w:rPr>
        <w:t>Peacock Delivered EBITDA of $261 Million, Increasing $478 Million Year-over-Year; Paid Subscribers Increased 17% Year-over-Year to 48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16840"/>
                <wp:effectExtent l="0" t="0" r="0" b="0"/>
                <wp:wrapNone/>
                <wp:docPr id="5" name="Frame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16"/>
                              </w:rPr>
                            </w:pPr>
                            <w:r>
                              <w:rPr>
                                <w:rFonts w:ascii="Helvetica;sans-serif" w:hAnsi="Helvetica;sans-serif"/>
                                <w:b w:val="false"/>
                                <w:color w:val="000000"/>
                                <w:sz w:val="16"/>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16"/>
                        </w:rPr>
                      </w:pPr>
                      <w:r>
                        <w:rPr>
                          <w:rFonts w:ascii="Helvetica;sans-serif" w:hAnsi="Helvetica;sans-serif"/>
                          <w:b w:val="false"/>
                          <w:color w:val="000000"/>
                          <w:sz w:val="16"/>
                        </w:rPr>
                        <w:t>1</w:t>
                      </w:r>
                    </w:p>
                  </w:txbxContent>
                </v:textbox>
                <w10:wrap type="none"/>
              </v:rect>
            </w:pict>
          </mc:Fallback>
        </mc:AlternateContent>
      </w:r>
    </w:p>
    <w:p>
      <w:pPr>
        <w:pStyle w:val="TextBody"/>
        <w:bidi w:val="0"/>
        <w:spacing w:lineRule="auto" w:line="288" w:before="0" w:after="60"/>
        <w:ind w:left="0" w:right="0" w:hanging="360"/>
        <w:jc w:val="both"/>
        <w:rPr/>
      </w:pPr>
      <w:r>
        <w:rPr>
          <w:color w:val="000000"/>
        </w:rPr>
        <w:t>•</w:t>
      </w:r>
      <w:r>
        <w:rPr>
          <w:rFonts w:ascii="Helvetica;sans-serif" w:hAnsi="Helvetica;sans-serif"/>
          <w:b w:val="false"/>
          <w:i/>
          <w:color w:val="000000"/>
          <w:sz w:val="20"/>
        </w:rPr>
        <w:t>The Odyssey</w:t>
      </w:r>
      <w:r>
        <w:rPr>
          <w:color w:val="000000"/>
        </w:rPr>
        <w:t xml:space="preserve"> </w:t>
      </w:r>
      <w:r>
        <w:rPr>
          <w:rFonts w:ascii="Helvetica;sans-serif" w:hAnsi="Helvetica;sans-serif"/>
          <w:b w:val="false"/>
          <w:color w:val="000000"/>
          <w:sz w:val="20"/>
        </w:rPr>
        <w:t>Premiered in July and Became Universal's Highest Grossing Film of All Time with Nearly $1.8 Billion in Worldwide Box Office Year-to-Date; Universal Became the First Studio to Reach $5 Billion at the Global Box Office in 2026; Studios EBITDA Increased 18.6% to $402 Million</w:t>
      </w:r>
    </w:p>
    <w:p>
      <w:pPr>
        <w:pStyle w:val="TextBody"/>
        <w:bidi w:val="0"/>
        <w:spacing w:lineRule="auto" w:line="288" w:before="0" w:after="60"/>
        <w:ind w:left="0" w:right="0" w:hanging="360"/>
        <w:jc w:val="both"/>
        <w:rPr/>
      </w:pPr>
      <w:r>
        <w:rPr>
          <w:color w:val="000000"/>
        </w:rPr>
        <w:t>•</w:t>
      </w:r>
      <w:r>
        <w:rPr>
          <w:rFonts w:ascii="Helvetica;sans-serif" w:hAnsi="Helvetica;sans-serif"/>
          <w:b w:val="false"/>
          <w:color w:val="000000"/>
          <w:sz w:val="20"/>
        </w:rPr>
        <w:t xml:space="preserve">Opened </w:t>
      </w:r>
      <w:r>
        <w:rPr>
          <w:rFonts w:ascii="Helvetica;sans-serif" w:hAnsi="Helvetica;sans-serif"/>
          <w:b w:val="false"/>
          <w:i/>
          <w:color w:val="000000"/>
          <w:sz w:val="20"/>
        </w:rPr>
        <w:t>Fast &amp; Furious: Hollywood Drift</w:t>
      </w:r>
      <w:r>
        <w:rPr>
          <w:color w:val="000000"/>
        </w:rPr>
        <w:t xml:space="preserve"> </w:t>
      </w:r>
      <w:r>
        <w:rPr>
          <w:rFonts w:ascii="Helvetica;sans-serif" w:hAnsi="Helvetica;sans-serif"/>
          <w:b w:val="false"/>
          <w:color w:val="000000"/>
          <w:sz w:val="20"/>
        </w:rPr>
        <w:t>at Universal Studios Hollywood, the Park's First-Ever High-Speed Outdoor Roller Coaster and the Fastest Roller Coaster in the Universal Destinations &amp; Experiences Portfolio</w:t>
      </w:r>
    </w:p>
    <w:p>
      <w:pPr>
        <w:pStyle w:val="TextBody"/>
        <w:bidi w:val="0"/>
        <w:spacing w:before="0" w:after="60"/>
        <w:jc w:val="both"/>
        <w:rPr/>
      </w:pPr>
      <w:r>
        <w:rPr/>
      </w:r>
    </w:p>
    <w:p>
      <w:pPr>
        <w:pStyle w:val="TextBody"/>
        <w:bidi w:val="0"/>
        <w:spacing w:lineRule="auto" w:line="288" w:before="0" w:after="60"/>
        <w:jc w:val="both"/>
        <w:rPr>
          <w:rFonts w:ascii="Helvetica;sans-serif" w:hAnsi="Helvetica;sans-serif"/>
          <w:b/>
          <w:color w:val="000000"/>
          <w:sz w:val="24"/>
        </w:rPr>
      </w:pPr>
      <w:r>
        <w:rPr>
          <w:rFonts w:ascii="Helvetica;sans-serif" w:hAnsi="Helvetica;sans-serif"/>
          <w:b/>
          <w:color w:val="000000"/>
          <w:sz w:val="24"/>
        </w:rPr>
        <w:t>3rd Quarter Consolidated Financial Results</w:t>
      </w:r>
    </w:p>
    <w:p>
      <w:pPr>
        <w:pStyle w:val="TextBody"/>
        <w:bidi w:val="0"/>
        <w:spacing w:lineRule="auto" w:line="288" w:before="0" w:after="0"/>
        <w:jc w:val="both"/>
        <w:rPr>
          <w:rFonts w:ascii="Helvetica;sans-serif" w:hAnsi="Helvetica;sans-serif"/>
          <w:b w:val="false"/>
          <w:color w:val="000000"/>
          <w:sz w:val="2"/>
        </w:rPr>
      </w:pPr>
      <w:r>
        <w:rPr>
          <w:rFonts w:ascii="Helvetica;sans-serif" w:hAnsi="Helvetica;sans-serif"/>
          <w:b w:val="false"/>
          <w:color w:val="000000"/>
          <w:sz w:val="2"/>
        </w:rPr>
        <w:t>\</w:t>
      </w:r>
    </w:p>
    <w:p>
      <w:pPr>
        <w:pStyle w:val="TextBody"/>
        <w:bidi w:val="0"/>
        <w:spacing w:lineRule="auto" w:line="276" w:before="0" w:after="0"/>
        <w:jc w:val="both"/>
        <w:rPr/>
      </w:pPr>
      <w:r>
        <w:rPr>
          <w:rFonts w:ascii="Helvetica;sans-serif" w:hAnsi="Helvetica;sans-serif"/>
          <w:b/>
          <w:color w:val="000000"/>
          <w:sz w:val="20"/>
        </w:rPr>
        <w:t>Revenue</w:t>
      </w:r>
      <w:r>
        <w:rPr>
          <w:color w:val="000000"/>
        </w:rPr>
        <w:t xml:space="preserve"> </w:t>
      </w:r>
      <w:r>
        <w:rPr>
          <w:rFonts w:ascii="Helvetica;sans-serif" w:hAnsi="Helvetica;sans-serif"/>
          <w:b w:val="false"/>
          <w:color w:val="000000"/>
          <w:sz w:val="20"/>
        </w:rPr>
        <w:t>decreased 6.1%</w:t>
      </w:r>
      <w:r>
        <w:rPr>
          <w:color w:val="EE2724"/>
        </w:rPr>
        <w:t xml:space="preserve"> </w:t>
      </w:r>
      <w:r>
        <w:rPr>
          <w:rFonts w:ascii="Helvetica;sans-serif" w:hAnsi="Helvetica;sans-serif"/>
          <w:b w:val="false"/>
          <w:color w:val="000000"/>
          <w:sz w:val="20"/>
        </w:rPr>
        <w:t xml:space="preserve">compared to the prior year period. </w:t>
      </w:r>
      <w:r>
        <w:rPr>
          <w:rFonts w:ascii="Helvetica;sans-serif" w:hAnsi="Helvetica;sans-serif"/>
          <w:b/>
          <w:color w:val="000000"/>
          <w:sz w:val="20"/>
        </w:rPr>
        <w:t>Net Income Attributable to Comcast</w:t>
      </w:r>
      <w:r>
        <w:rPr>
          <w:color w:val="000000"/>
        </w:rPr>
        <w:t xml:space="preserve"> </w:t>
      </w:r>
      <w:r>
        <w:rPr>
          <w:rFonts w:ascii="Helvetica;sans-serif" w:hAnsi="Helvetica;sans-serif"/>
          <w:b w:val="false"/>
          <w:color w:val="000000"/>
          <w:sz w:val="20"/>
        </w:rPr>
        <w:t xml:space="preserve">increased 3.5%. </w:t>
      </w:r>
      <w:r>
        <w:rPr>
          <w:rFonts w:ascii="Helvetica;sans-serif" w:hAnsi="Helvetica;sans-serif"/>
          <w:b/>
          <w:color w:val="000000"/>
          <w:sz w:val="20"/>
        </w:rPr>
        <w:t>Adjusted Net Income</w:t>
      </w:r>
      <w:r>
        <w:rPr>
          <w:color w:val="000000"/>
        </w:rPr>
        <w:t xml:space="preserve"> </w:t>
      </w:r>
      <w:r>
        <w:rPr>
          <w:rFonts w:ascii="Helvetica;sans-serif" w:hAnsi="Helvetica;sans-serif"/>
          <w:b w:val="false"/>
          <w:color w:val="000000"/>
          <w:sz w:val="20"/>
        </w:rPr>
        <w:t xml:space="preserve">decreased 7.3%. </w:t>
      </w:r>
      <w:r>
        <w:rPr>
          <w:rFonts w:ascii="Helvetica;sans-serif" w:hAnsi="Helvetica;sans-serif"/>
          <w:b/>
          <w:color w:val="000000"/>
          <w:sz w:val="20"/>
        </w:rPr>
        <w:t>Adjusted EBITDA</w:t>
      </w:r>
      <w:r>
        <w:rPr>
          <w:color w:val="000000"/>
        </w:rPr>
        <w:t xml:space="preserve"> </w:t>
      </w:r>
      <w:r>
        <w:rPr>
          <w:rFonts w:ascii="Helvetica;sans-serif" w:hAnsi="Helvetica;sans-serif"/>
          <w:b w:val="false"/>
          <w:color w:val="000000"/>
          <w:sz w:val="20"/>
        </w:rPr>
        <w:t xml:space="preserve">decreased 5.8%. </w:t>
      </w:r>
      <w:r>
        <w:rPr>
          <w:rFonts w:ascii="Helvetica;sans-serif" w:hAnsi="Helvetica;sans-serif"/>
          <w:b/>
          <w:color w:val="000000"/>
          <w:sz w:val="20"/>
        </w:rPr>
        <w:t>On a pro forma basis</w:t>
      </w:r>
      <w:r>
        <w:rPr>
          <w:color w:val="000000"/>
        </w:rPr>
        <w:t xml:space="preserve"> </w:t>
      </w:r>
      <w:r>
        <w:rPr>
          <w:rFonts w:ascii="Helvetica;sans-serif" w:hAnsi="Helvetica;sans-serif"/>
          <w:b w:val="false"/>
          <w:color w:val="000000"/>
          <w:sz w:val="20"/>
        </w:rPr>
        <w:t>to reflect the Versant separation, which was completed on January 2, 2026, and the sale of our Sky operations in Germany, which was completed on May 31, 2026, revenue and Adjusted EBITDA were consistent with the prior year period.</w:t>
      </w:r>
    </w:p>
    <w:p>
      <w:pPr>
        <w:pStyle w:val="TextBody"/>
        <w:bidi w:val="0"/>
        <w:spacing w:before="0" w:after="0"/>
        <w:jc w:val="both"/>
        <w:rPr/>
      </w:pPr>
      <w:r>
        <w:rPr/>
      </w:r>
    </w:p>
    <w:p>
      <w:pPr>
        <w:pStyle w:val="TextBody"/>
        <w:bidi w:val="0"/>
        <w:spacing w:lineRule="auto" w:line="288" w:before="0" w:after="0"/>
        <w:jc w:val="both"/>
        <w:rPr/>
      </w:pPr>
      <w:r>
        <w:rPr>
          <w:rFonts w:ascii="Helvetica;sans-serif" w:hAnsi="Helvetica;sans-serif"/>
          <w:b/>
          <w:i/>
          <w:color w:val="000000"/>
          <w:sz w:val="20"/>
        </w:rPr>
        <w:t>Earnings per Share (EPS)</w:t>
      </w:r>
      <w:r>
        <w:rPr>
          <w:color w:val="000000"/>
        </w:rPr>
        <w:t xml:space="preserve"> </w:t>
      </w:r>
      <w:r>
        <w:rPr>
          <w:rFonts w:ascii="Helvetica;sans-serif" w:hAnsi="Helvetica;sans-serif"/>
          <w:b w:val="false"/>
          <w:color w:val="000000"/>
          <w:sz w:val="20"/>
        </w:rPr>
        <w:t xml:space="preserve">increased 7.2% to $0.97. </w:t>
      </w:r>
      <w:r>
        <w:rPr>
          <w:rFonts w:ascii="Helvetica;sans-serif" w:hAnsi="Helvetica;sans-serif"/>
          <w:b/>
          <w:i/>
          <w:color w:val="000000"/>
          <w:sz w:val="20"/>
        </w:rPr>
        <w:t>Adjusted EPS</w:t>
      </w:r>
      <w:r>
        <w:rPr>
          <w:color w:val="000000"/>
        </w:rPr>
        <w:t xml:space="preserve"> </w:t>
      </w:r>
      <w:r>
        <w:rPr>
          <w:rFonts w:ascii="Helvetica;sans-serif" w:hAnsi="Helvetica;sans-serif"/>
          <w:b w:val="false"/>
          <w:color w:val="000000"/>
          <w:sz w:val="20"/>
        </w:rPr>
        <w:t>decreased 4.0%</w:t>
      </w:r>
      <w:r>
        <w:rPr>
          <w:color w:val="EE2724"/>
        </w:rPr>
        <w:t xml:space="preserve"> </w:t>
      </w:r>
      <w:r>
        <w:rPr>
          <w:rFonts w:ascii="Helvetica;sans-serif" w:hAnsi="Helvetica;sans-serif"/>
          <w:b w:val="false"/>
          <w:color w:val="000000"/>
          <w:sz w:val="20"/>
        </w:rPr>
        <w:t>to $1.07</w:t>
      </w:r>
      <w:r>
        <w:rPr>
          <w:rFonts w:ascii="Helvetica;sans-serif" w:hAnsi="Helvetica;sans-serif"/>
          <w:b w:val="false"/>
          <w:color w:val="242424"/>
          <w:sz w:val="20"/>
        </w:rPr>
        <w:t xml:space="preserve">. </w:t>
      </w:r>
    </w:p>
    <w:p>
      <w:pPr>
        <w:pStyle w:val="TextBody"/>
        <w:bidi w:val="0"/>
        <w:spacing w:before="0" w:after="0"/>
        <w:jc w:val="both"/>
        <w:rPr/>
      </w:pPr>
      <w:r>
        <w:rPr/>
      </w:r>
    </w:p>
    <w:p>
      <w:pPr>
        <w:pStyle w:val="TextBody"/>
        <w:bidi w:val="0"/>
        <w:spacing w:lineRule="auto" w:line="288" w:before="0" w:after="0"/>
        <w:jc w:val="both"/>
        <w:rPr/>
      </w:pPr>
      <w:r>
        <w:rPr>
          <w:rFonts w:ascii="Helvetica;sans-serif" w:hAnsi="Helvetica;sans-serif"/>
          <w:b/>
          <w:i/>
          <w:color w:val="000000"/>
          <w:sz w:val="20"/>
        </w:rPr>
        <w:t>Capital Expenditures</w:t>
      </w:r>
      <w:r>
        <w:rPr>
          <w:color w:val="000000"/>
        </w:rPr>
        <w:t xml:space="preserve"> </w:t>
      </w:r>
      <w:r>
        <w:rPr>
          <w:rFonts w:ascii="Helvetica;sans-serif" w:hAnsi="Helvetica;sans-serif"/>
          <w:b w:val="false"/>
          <w:color w:val="000000"/>
          <w:sz w:val="20"/>
        </w:rPr>
        <w:t xml:space="preserve">were consistent at </w:t>
      </w:r>
      <w:r>
        <w:rPr>
          <w:rFonts w:ascii="Helvetica;sans-serif" w:hAnsi="Helvetica;sans-serif"/>
          <w:b w:val="false"/>
          <w:color w:val="000000"/>
          <w:sz w:val="20"/>
          <w:shd w:fill="FFFFFF" w:val="clear"/>
        </w:rPr>
        <w:t>$3.1 billion</w:t>
      </w:r>
      <w:r>
        <w:rPr>
          <w:rFonts w:ascii="Helvetica;sans-serif" w:hAnsi="Helvetica;sans-serif"/>
          <w:b w:val="false"/>
          <w:color w:val="000000"/>
          <w:sz w:val="20"/>
        </w:rPr>
        <w:t xml:space="preserve">. Connectivity &amp; Platforms’ capital expenditures increased 3.6% to </w:t>
      </w:r>
      <w:r>
        <w:rPr>
          <w:rFonts w:ascii="Helvetica;sans-serif" w:hAnsi="Helvetica;sans-serif"/>
          <w:b w:val="false"/>
          <w:color w:val="000000"/>
          <w:sz w:val="20"/>
          <w:shd w:fill="FFFFFF" w:val="clear"/>
        </w:rPr>
        <w:t>$2.4 billion</w:t>
      </w:r>
      <w:r>
        <w:rPr>
          <w:rFonts w:ascii="Helvetica;sans-serif" w:hAnsi="Helvetica;sans-serif"/>
          <w:b w:val="false"/>
          <w:color w:val="000000"/>
          <w:sz w:val="20"/>
        </w:rPr>
        <w:t>, primarily reflecting higher spending on customer premise equipment. Content &amp; Experiences' capital expenditures decreased 10.6% to $639 million.</w:t>
      </w:r>
    </w:p>
    <w:p>
      <w:pPr>
        <w:pStyle w:val="TextBody"/>
        <w:bidi w:val="0"/>
        <w:spacing w:before="0" w:after="0"/>
        <w:jc w:val="both"/>
        <w:rPr/>
      </w:pPr>
      <w:r>
        <w:rPr/>
      </w:r>
    </w:p>
    <w:p>
      <w:pPr>
        <w:pStyle w:val="TextBody"/>
        <w:bidi w:val="0"/>
        <w:spacing w:lineRule="auto" w:line="288" w:before="0" w:after="0"/>
        <w:jc w:val="both"/>
        <w:rPr/>
      </w:pPr>
      <w:r>
        <w:rPr>
          <w:rFonts w:ascii="Helvetica;sans-serif" w:hAnsi="Helvetica;sans-serif"/>
          <w:b/>
          <w:i/>
          <w:color w:val="000000"/>
          <w:sz w:val="20"/>
        </w:rPr>
        <w:t xml:space="preserve">Net Cash Provided by Operating Activities </w:t>
      </w:r>
      <w:r>
        <w:rPr>
          <w:rFonts w:ascii="Helvetica;sans-serif" w:hAnsi="Helvetica;sans-serif"/>
          <w:b w:val="false"/>
          <w:color w:val="000000"/>
          <w:sz w:val="20"/>
        </w:rPr>
        <w:t>was $7.9 billion.</w:t>
      </w:r>
      <w:r>
        <w:rPr>
          <w:color w:val="000000"/>
        </w:rPr>
        <w:t xml:space="preserve"> </w:t>
      </w:r>
      <w:r>
        <w:rPr>
          <w:rFonts w:ascii="Helvetica;sans-serif" w:hAnsi="Helvetica;sans-serif"/>
          <w:b/>
          <w:i/>
          <w:color w:val="000000"/>
          <w:sz w:val="20"/>
        </w:rPr>
        <w:t>Free Cash Flow</w:t>
      </w:r>
      <w:r>
        <w:rPr>
          <w:color w:val="000000"/>
        </w:rPr>
        <w:t xml:space="preserve"> </w:t>
      </w:r>
      <w:r>
        <w:rPr>
          <w:rFonts w:ascii="Helvetica;sans-serif" w:hAnsi="Helvetica;sans-serif"/>
          <w:b w:val="false"/>
          <w:color w:val="000000"/>
          <w:sz w:val="20"/>
        </w:rPr>
        <w:t>was $4.2 billion.</w:t>
      </w:r>
    </w:p>
    <w:p>
      <w:pPr>
        <w:pStyle w:val="TextBody"/>
        <w:bidi w:val="0"/>
        <w:spacing w:before="0" w:after="0"/>
        <w:jc w:val="both"/>
        <w:rPr/>
      </w:pPr>
      <w:r>
        <w:rPr/>
      </w:r>
    </w:p>
    <w:p>
      <w:pPr>
        <w:pStyle w:val="TextBody"/>
        <w:bidi w:val="0"/>
        <w:spacing w:lineRule="auto" w:line="288" w:before="0" w:after="0"/>
        <w:jc w:val="both"/>
        <w:rPr/>
      </w:pPr>
      <w:r>
        <w:rPr>
          <w:rFonts w:ascii="Helvetica;sans-serif" w:hAnsi="Helvetica;sans-serif"/>
          <w:b/>
          <w:i/>
          <w:color w:val="000000"/>
          <w:sz w:val="20"/>
        </w:rPr>
        <w:t xml:space="preserve">Dividends. </w:t>
      </w:r>
      <w:r>
        <w:rPr>
          <w:rFonts w:ascii="Helvetica;sans-serif" w:hAnsi="Helvetica;sans-serif"/>
          <w:b w:val="false"/>
          <w:color w:val="000000"/>
          <w:sz w:val="20"/>
        </w:rPr>
        <w:t>Comcast paid dividends totaling $1.2 billion. As previously announced, Comcast suspended its share repurchase program beginning in the third quarter and expects the pause to remain in place through the proposed separation of its businesses into two independent publicly traded companies.</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left"/>
        <w:rPr>
          <w:rFonts w:ascii="Helvetica;sans-serif" w:hAnsi="Helvetica;sans-serif"/>
          <w:b/>
          <w:color w:val="000000"/>
          <w:sz w:val="24"/>
        </w:rPr>
      </w:pPr>
      <w:r>
        <w:rPr>
          <w:rFonts w:ascii="Helvetica;sans-serif" w:hAnsi="Helvetica;sans-serif"/>
          <w:b/>
          <w:color w:val="000000"/>
          <w:sz w:val="24"/>
        </w:rPr>
        <w:t>Connectivity &amp; Platforms</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D9D9D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9D9D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9D9D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9D9D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D9D9D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9545" w:type="dxa"/>
        <w:jc w:val="left"/>
        <w:tblInd w:w="0" w:type="dxa"/>
        <w:tblLayout w:type="fixed"/>
        <w:tblCellMar>
          <w:top w:w="28" w:type="dxa"/>
          <w:left w:w="28" w:type="dxa"/>
          <w:bottom w:w="28" w:type="dxa"/>
          <w:right w:w="28" w:type="dxa"/>
        </w:tblCellMar>
      </w:tblPr>
      <w:tblGrid>
        <w:gridCol w:w="124"/>
        <w:gridCol w:w="109"/>
        <w:gridCol w:w="109"/>
        <w:gridCol w:w="1510"/>
        <w:gridCol w:w="1510"/>
        <w:gridCol w:w="1525"/>
        <w:gridCol w:w="210"/>
        <w:gridCol w:w="211"/>
        <w:gridCol w:w="375"/>
        <w:gridCol w:w="210"/>
        <w:gridCol w:w="211"/>
        <w:gridCol w:w="377"/>
        <w:gridCol w:w="195"/>
        <w:gridCol w:w="196"/>
        <w:gridCol w:w="366"/>
        <w:gridCol w:w="195"/>
        <w:gridCol w:w="196"/>
        <w:gridCol w:w="454"/>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1525"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12"/>
              </w:rPr>
            </w:pPr>
            <w:r>
              <w:rPr>
                <w:rFonts w:ascii="Helvetica;sans-serif" w:hAnsi="Helvetica;sans-serif"/>
                <w:b w:val="false"/>
                <w:i/>
                <w:color w:val="000000"/>
                <w:sz w:val="12"/>
              </w:rPr>
              <w:t>($ in millions)</w:t>
            </w:r>
          </w:p>
        </w:tc>
        <w:tc>
          <w:tcPr>
            <w:tcW w:w="796"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vMerge w:val="restart"/>
            <w:tcBorders/>
            <w:shd w:fill="D9D9D6" w:val="clear"/>
            <w:tcMar>
              <w:top w:w="0" w:type="dxa"/>
              <w:left w:w="0" w:type="dxa"/>
              <w:bottom w:w="0" w:type="dxa"/>
              <w:right w:w="0" w:type="dxa"/>
            </w:tcMar>
            <w:vAlign w:val="center"/>
          </w:tcPr>
          <w:p>
            <w:pPr>
              <w:pStyle w:val="TableContents"/>
              <w:bidi w:val="0"/>
              <w:spacing w:lineRule="auto" w:line="240" w:before="0" w:after="0"/>
              <w:jc w:val="right"/>
              <w:rPr/>
            </w:pPr>
            <w:r>
              <w:rPr>
                <w:rFonts w:ascii="Helvetica;sans-serif" w:hAnsi="Helvetica;sans-serif"/>
                <w:b w:val="false"/>
                <w:color w:val="000000"/>
                <w:sz w:val="16"/>
              </w:rPr>
              <w:t xml:space="preserve">Constant </w:t>
              <w:br/>
              <w:t xml:space="preserve">Currency </w:t>
              <w:br/>
            </w:r>
            <w:r>
              <w:rPr>
                <w:rFonts w:ascii="Helvetica;sans-serif" w:hAnsi="Helvetica;sans-serif"/>
                <w:b w:val="false"/>
                <w:color w:val="000000"/>
                <w:sz w:val="16"/>
                <w:u w:val="single"/>
              </w:rPr>
              <w:t>Change</w:t>
            </w:r>
            <w:r>
              <w:rPr>
                <w:rFonts w:ascii="Helvetica;sans-serif" w:hAnsi="Helvetica;sans-serif"/>
                <w:b w:val="false"/>
                <w:color w:val="000000"/>
                <w:sz w:val="10"/>
              </w:rPr>
              <w:t>7</w:t>
            </w:r>
          </w:p>
        </w:tc>
        <w:tc>
          <w:tcPr>
            <w:tcW w:w="32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1" w:type="dxa"/>
            <w:gridSpan w:val="9"/>
            <w:tcBorders/>
            <w:shd w:fill="D9D9D6"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6"/>
                <w:u w:val="single"/>
              </w:rPr>
            </w:pPr>
            <w:r>
              <w:rPr>
                <w:rFonts w:ascii="Helvetica;sans-serif" w:hAnsi="Helvetica;sans-serif"/>
                <w:b w:val="false"/>
                <w:color w:val="000000"/>
                <w:sz w:val="16"/>
                <w:u w:val="single"/>
              </w:rPr>
              <w:t>3rd Quarter</w:t>
            </w:r>
          </w:p>
        </w:tc>
        <w:tc>
          <w:tcPr>
            <w:tcW w:w="845" w:type="dxa"/>
            <w:gridSpan w:val="3"/>
            <w:vMerge w:val="continue"/>
            <w:tcBorders/>
            <w:shd w:fill="D9D9D6" w:val="clear"/>
            <w:tcMar>
              <w:top w:w="0" w:type="dxa"/>
              <w:left w:w="0" w:type="dxa"/>
              <w:bottom w:w="0" w:type="dxa"/>
              <w:right w:w="0" w:type="dxa"/>
            </w:tcMar>
            <w:vAlign w:val="center"/>
          </w:tcPr>
          <w:p>
            <w:pPr>
              <w:pStyle w:val="Normal"/>
              <w:bidi w:val="0"/>
              <w:jc w:val="left"/>
              <w:rPr/>
            </w:pPr>
            <w:r>
              <w:rPr/>
            </w:r>
          </w:p>
        </w:tc>
        <w:tc>
          <w:tcPr>
            <w:tcW w:w="32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5"/>
            <w:tcBorders/>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u w:val="single"/>
              </w:rPr>
            </w:pPr>
            <w:r>
              <w:rPr>
                <w:rFonts w:ascii="Helvetica;sans-serif" w:hAnsi="Helvetica;sans-serif"/>
                <w:b w:val="false"/>
                <w:color w:val="000000"/>
                <w:sz w:val="16"/>
                <w:u w:val="single"/>
              </w:rPr>
              <w:t>2026</w:t>
            </w:r>
          </w:p>
        </w:tc>
        <w:tc>
          <w:tcPr>
            <w:tcW w:w="798" w:type="dxa"/>
            <w:gridSpan w:val="3"/>
            <w:vMerge w:val="restart"/>
            <w:tcBorders/>
            <w:shd w:fill="D9D9D6" w:val="clear"/>
            <w:tcMar>
              <w:top w:w="0" w:type="dxa"/>
              <w:left w:w="0" w:type="dxa"/>
              <w:bottom w:w="0" w:type="dxa"/>
              <w:right w:w="0" w:type="dxa"/>
            </w:tcMar>
            <w:vAlign w:val="center"/>
          </w:tcPr>
          <w:p>
            <w:pPr>
              <w:pStyle w:val="TableContents"/>
              <w:bidi w:val="0"/>
              <w:spacing w:lineRule="auto" w:line="240" w:before="0" w:after="0"/>
              <w:jc w:val="right"/>
              <w:rPr/>
            </w:pPr>
            <w:r>
              <w:rPr>
                <w:rFonts w:ascii="Helvetica;sans-serif" w:hAnsi="Helvetica;sans-serif"/>
                <w:b w:val="false"/>
                <w:color w:val="000000"/>
                <w:sz w:val="16"/>
                <w:u w:val="single"/>
              </w:rPr>
              <w:t>2025</w:t>
            </w:r>
            <w:r>
              <w:rPr>
                <w:rFonts w:ascii="Helvetica;sans-serif" w:hAnsi="Helvetica;sans-serif"/>
                <w:b w:val="false"/>
                <w:color w:val="000000"/>
                <w:sz w:val="10"/>
              </w:rPr>
              <w:t>6</w:t>
            </w:r>
          </w:p>
        </w:tc>
        <w:tc>
          <w:tcPr>
            <w:tcW w:w="757"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u w:val="single"/>
              </w:rPr>
            </w:pPr>
            <w:r>
              <w:rPr>
                <w:rFonts w:ascii="Helvetica;sans-serif" w:hAnsi="Helvetica;sans-serif"/>
                <w:b w:val="false"/>
                <w:color w:val="000000"/>
                <w:sz w:val="16"/>
                <w:u w:val="single"/>
              </w:rPr>
              <w:t>Change</w:t>
            </w:r>
          </w:p>
        </w:tc>
        <w:tc>
          <w:tcPr>
            <w:tcW w:w="845" w:type="dxa"/>
            <w:gridSpan w:val="3"/>
            <w:vMerge w:val="continue"/>
            <w:tcBorders/>
            <w:shd w:fill="D9D9D6" w:val="clear"/>
            <w:tcMar>
              <w:top w:w="0" w:type="dxa"/>
              <w:left w:w="0" w:type="dxa"/>
              <w:bottom w:w="0" w:type="dxa"/>
              <w:right w:w="0" w:type="dxa"/>
            </w:tcMar>
            <w:vAlign w:val="center"/>
          </w:tcPr>
          <w:p>
            <w:pPr>
              <w:pStyle w:val="Normal"/>
              <w:bidi w:val="0"/>
              <w:jc w:val="left"/>
              <w:rPr/>
            </w:pPr>
            <w:r>
              <w:rPr/>
            </w:r>
          </w:p>
        </w:tc>
        <w:tc>
          <w:tcPr>
            <w:tcW w:w="32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545"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798" w:type="dxa"/>
            <w:gridSpan w:val="3"/>
            <w:vMerge w:val="continue"/>
            <w:tcBorders/>
            <w:shd w:fill="D9D9D6" w:val="clear"/>
            <w:tcMar>
              <w:top w:w="0" w:type="dxa"/>
              <w:left w:w="0" w:type="dxa"/>
              <w:bottom w:w="0" w:type="dxa"/>
              <w:right w:w="0" w:type="dxa"/>
            </w:tcMar>
            <w:vAlign w:val="center"/>
          </w:tcPr>
          <w:p>
            <w:pPr>
              <w:pStyle w:val="Normal"/>
              <w:bidi w:val="0"/>
              <w:jc w:val="left"/>
              <w:rPr/>
            </w:pPr>
            <w:r>
              <w:rPr/>
            </w:r>
          </w:p>
        </w:tc>
        <w:tc>
          <w:tcPr>
            <w:tcW w:w="75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545"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798" w:type="dxa"/>
            <w:gridSpan w:val="3"/>
            <w:vMerge w:val="continue"/>
            <w:tcBorders/>
            <w:shd w:fill="D9D9D6" w:val="clear"/>
            <w:tcMar>
              <w:top w:w="0" w:type="dxa"/>
              <w:left w:w="0" w:type="dxa"/>
              <w:bottom w:w="0" w:type="dxa"/>
              <w:right w:w="0" w:type="dxa"/>
            </w:tcMar>
            <w:vAlign w:val="center"/>
          </w:tcPr>
          <w:p>
            <w:pPr>
              <w:pStyle w:val="Normal"/>
              <w:bidi w:val="0"/>
              <w:jc w:val="left"/>
              <w:rPr/>
            </w:pPr>
            <w:r>
              <w:rPr/>
            </w:r>
          </w:p>
        </w:tc>
        <w:tc>
          <w:tcPr>
            <w:tcW w:w="75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545"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75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545"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75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545"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75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545"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75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545"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75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545"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75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Connectivity &amp; Platforms Revenue</w:t>
            </w:r>
          </w:p>
        </w:tc>
        <w:tc>
          <w:tcPr>
            <w:tcW w:w="796"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545"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75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545"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75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545"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75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545"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75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545"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75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545"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75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545"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75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545"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75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Residential Connectivity &amp; Platforms</w:t>
            </w:r>
          </w:p>
        </w:tc>
        <w:tc>
          <w:tcPr>
            <w:tcW w:w="796"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$17,018</w:t>
            </w:r>
          </w:p>
        </w:tc>
        <w:tc>
          <w:tcPr>
            <w:tcW w:w="798"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$17,636</w:t>
            </w:r>
          </w:p>
        </w:tc>
        <w:tc>
          <w:tcPr>
            <w:tcW w:w="391"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(3.5</w:t>
            </w:r>
          </w:p>
        </w:tc>
        <w:tc>
          <w:tcPr>
            <w:tcW w:w="366" w:type="dxa"/>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391"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(3.4</w:t>
            </w:r>
          </w:p>
        </w:tc>
        <w:tc>
          <w:tcPr>
            <w:tcW w:w="454" w:type="dxa"/>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Business Services Connectivity</w:t>
            </w:r>
          </w:p>
        </w:tc>
        <w:tc>
          <w:tcPr>
            <w:tcW w:w="796"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2,645</w:t>
            </w:r>
          </w:p>
        </w:tc>
        <w:tc>
          <w:tcPr>
            <w:tcW w:w="798"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2,576</w:t>
            </w:r>
          </w:p>
        </w:tc>
        <w:tc>
          <w:tcPr>
            <w:tcW w:w="391"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2.7</w:t>
            </w:r>
          </w:p>
        </w:tc>
        <w:tc>
          <w:tcPr>
            <w:tcW w:w="366" w:type="dxa"/>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391"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2.7</w:t>
            </w:r>
          </w:p>
        </w:tc>
        <w:tc>
          <w:tcPr>
            <w:tcW w:w="454" w:type="dxa"/>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Total Connectivity &amp; Platforms Revenue</w:t>
            </w:r>
          </w:p>
        </w:tc>
        <w:tc>
          <w:tcPr>
            <w:tcW w:w="796" w:type="dxa"/>
            <w:gridSpan w:val="3"/>
            <w:tcBorders>
              <w:top w:val="single" w:sz="4" w:space="0" w:color="000000"/>
            </w:tcBorders>
            <w:shd w:fill="D9D9D6"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6"/>
              </w:rPr>
            </w:pPr>
            <w:r>
              <w:rPr>
                <w:rFonts w:ascii="Helvetica;sans-serif" w:hAnsi="Helvetica;sans-serif"/>
                <w:b/>
                <w:color w:val="000000"/>
                <w:sz w:val="16"/>
              </w:rPr>
              <w:t>$19,663</w:t>
            </w:r>
          </w:p>
        </w:tc>
        <w:tc>
          <w:tcPr>
            <w:tcW w:w="798" w:type="dxa"/>
            <w:gridSpan w:val="3"/>
            <w:tcBorders>
              <w:top w:val="single" w:sz="4" w:space="0" w:color="000000"/>
            </w:tcBorders>
            <w:shd w:fill="D9D9D6"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6"/>
              </w:rPr>
            </w:pPr>
            <w:r>
              <w:rPr>
                <w:rFonts w:ascii="Helvetica;sans-serif" w:hAnsi="Helvetica;sans-serif"/>
                <w:b/>
                <w:color w:val="000000"/>
                <w:sz w:val="16"/>
              </w:rPr>
              <w:t>$20,212</w:t>
            </w:r>
          </w:p>
        </w:tc>
        <w:tc>
          <w:tcPr>
            <w:tcW w:w="391" w:type="dxa"/>
            <w:gridSpan w:val="2"/>
            <w:tcBorders>
              <w:top w:val="single" w:sz="4" w:space="0" w:color="000000"/>
            </w:tcBorders>
            <w:shd w:fill="D9D9D6"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6"/>
              </w:rPr>
            </w:pPr>
            <w:r>
              <w:rPr>
                <w:rFonts w:ascii="Helvetica;sans-serif" w:hAnsi="Helvetica;sans-serif"/>
                <w:b/>
                <w:color w:val="000000"/>
                <w:sz w:val="16"/>
              </w:rPr>
              <w:t>(2.7</w:t>
            </w:r>
          </w:p>
        </w:tc>
        <w:tc>
          <w:tcPr>
            <w:tcW w:w="366" w:type="dxa"/>
            <w:tcBorders>
              <w:top w:val="single" w:sz="4" w:space="0" w:color="000000"/>
            </w:tcBorders>
            <w:shd w:fill="D9D9D6"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w:t>
            </w:r>
          </w:p>
        </w:tc>
        <w:tc>
          <w:tcPr>
            <w:tcW w:w="391" w:type="dxa"/>
            <w:gridSpan w:val="2"/>
            <w:tcBorders>
              <w:top w:val="single" w:sz="4" w:space="0" w:color="000000"/>
            </w:tcBorders>
            <w:shd w:fill="D9D9D6"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6"/>
              </w:rPr>
            </w:pPr>
            <w:r>
              <w:rPr>
                <w:rFonts w:ascii="Helvetica;sans-serif" w:hAnsi="Helvetica;sans-serif"/>
                <w:b/>
                <w:color w:val="000000"/>
                <w:sz w:val="16"/>
              </w:rPr>
              <w:t>(2.6</w:t>
            </w:r>
          </w:p>
        </w:tc>
        <w:tc>
          <w:tcPr>
            <w:tcW w:w="454" w:type="dxa"/>
            <w:tcBorders>
              <w:top w:val="single" w:sz="4" w:space="0" w:color="000000"/>
            </w:tcBorders>
            <w:shd w:fill="D9D9D6"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w:t>
            </w:r>
          </w:p>
        </w:tc>
        <w:tc>
          <w:tcPr>
            <w:tcW w:w="32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545"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75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545"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75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545"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75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545"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75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545"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75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545"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75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545"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75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Connectivity &amp; Platforms Adjusted EBITDA</w:t>
            </w:r>
          </w:p>
        </w:tc>
        <w:tc>
          <w:tcPr>
            <w:tcW w:w="796"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Residential Connectivity &amp; Platforms</w:t>
            </w:r>
          </w:p>
        </w:tc>
        <w:tc>
          <w:tcPr>
            <w:tcW w:w="796"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$6,110</w:t>
            </w:r>
          </w:p>
        </w:tc>
        <w:tc>
          <w:tcPr>
            <w:tcW w:w="798"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$6,484</w:t>
            </w:r>
          </w:p>
        </w:tc>
        <w:tc>
          <w:tcPr>
            <w:tcW w:w="391"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(5.8</w:t>
            </w:r>
          </w:p>
        </w:tc>
        <w:tc>
          <w:tcPr>
            <w:tcW w:w="366" w:type="dxa"/>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391"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(5.8</w:t>
            </w:r>
          </w:p>
        </w:tc>
        <w:tc>
          <w:tcPr>
            <w:tcW w:w="454" w:type="dxa"/>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Business Services Connectivity</w:t>
            </w:r>
          </w:p>
        </w:tc>
        <w:tc>
          <w:tcPr>
            <w:tcW w:w="796"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1,478</w:t>
            </w:r>
          </w:p>
        </w:tc>
        <w:tc>
          <w:tcPr>
            <w:tcW w:w="798"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1,454</w:t>
            </w:r>
          </w:p>
        </w:tc>
        <w:tc>
          <w:tcPr>
            <w:tcW w:w="391"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1.7</w:t>
            </w:r>
          </w:p>
        </w:tc>
        <w:tc>
          <w:tcPr>
            <w:tcW w:w="366" w:type="dxa"/>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391"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1.7</w:t>
            </w:r>
          </w:p>
        </w:tc>
        <w:tc>
          <w:tcPr>
            <w:tcW w:w="454" w:type="dxa"/>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Total Connectivity &amp; Platforms Adjusted EBITDA</w:t>
            </w:r>
          </w:p>
        </w:tc>
        <w:tc>
          <w:tcPr>
            <w:tcW w:w="796" w:type="dxa"/>
            <w:gridSpan w:val="3"/>
            <w:tcBorders>
              <w:top w:val="single" w:sz="4" w:space="0" w:color="000000"/>
            </w:tcBorders>
            <w:shd w:fill="D9D9D6"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6"/>
              </w:rPr>
            </w:pPr>
            <w:r>
              <w:rPr>
                <w:rFonts w:ascii="Helvetica;sans-serif" w:hAnsi="Helvetica;sans-serif"/>
                <w:b/>
                <w:color w:val="000000"/>
                <w:sz w:val="16"/>
              </w:rPr>
              <w:t>$7,588</w:t>
            </w:r>
          </w:p>
        </w:tc>
        <w:tc>
          <w:tcPr>
            <w:tcW w:w="798" w:type="dxa"/>
            <w:gridSpan w:val="3"/>
            <w:tcBorders>
              <w:top w:val="single" w:sz="4" w:space="0" w:color="000000"/>
            </w:tcBorders>
            <w:shd w:fill="D9D9D6"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6"/>
              </w:rPr>
            </w:pPr>
            <w:r>
              <w:rPr>
                <w:rFonts w:ascii="Helvetica;sans-serif" w:hAnsi="Helvetica;sans-serif"/>
                <w:b/>
                <w:color w:val="000000"/>
                <w:sz w:val="16"/>
              </w:rPr>
              <w:t>$7,938</w:t>
            </w:r>
          </w:p>
        </w:tc>
        <w:tc>
          <w:tcPr>
            <w:tcW w:w="391" w:type="dxa"/>
            <w:gridSpan w:val="2"/>
            <w:tcBorders>
              <w:top w:val="single" w:sz="4" w:space="0" w:color="000000"/>
            </w:tcBorders>
            <w:shd w:fill="D9D9D6"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6"/>
              </w:rPr>
            </w:pPr>
            <w:r>
              <w:rPr>
                <w:rFonts w:ascii="Helvetica;sans-serif" w:hAnsi="Helvetica;sans-serif"/>
                <w:b/>
                <w:color w:val="000000"/>
                <w:sz w:val="16"/>
              </w:rPr>
              <w:t>(4.4</w:t>
            </w:r>
          </w:p>
        </w:tc>
        <w:tc>
          <w:tcPr>
            <w:tcW w:w="366" w:type="dxa"/>
            <w:tcBorders>
              <w:top w:val="single" w:sz="4" w:space="0" w:color="000000"/>
            </w:tcBorders>
            <w:shd w:fill="D9D9D6"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w:t>
            </w:r>
          </w:p>
        </w:tc>
        <w:tc>
          <w:tcPr>
            <w:tcW w:w="391" w:type="dxa"/>
            <w:gridSpan w:val="2"/>
            <w:tcBorders>
              <w:top w:val="single" w:sz="4" w:space="0" w:color="000000"/>
            </w:tcBorders>
            <w:shd w:fill="D9D9D6"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6"/>
              </w:rPr>
            </w:pPr>
            <w:r>
              <w:rPr>
                <w:rFonts w:ascii="Helvetica;sans-serif" w:hAnsi="Helvetica;sans-serif"/>
                <w:b/>
                <w:color w:val="000000"/>
                <w:sz w:val="16"/>
              </w:rPr>
              <w:t>(4.4</w:t>
            </w:r>
          </w:p>
        </w:tc>
        <w:tc>
          <w:tcPr>
            <w:tcW w:w="454" w:type="dxa"/>
            <w:tcBorders>
              <w:top w:val="single" w:sz="4" w:space="0" w:color="000000"/>
            </w:tcBorders>
            <w:shd w:fill="D9D9D6"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w:t>
            </w:r>
          </w:p>
        </w:tc>
        <w:tc>
          <w:tcPr>
            <w:tcW w:w="32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Connectivity &amp; Platforms Adjusted EBITDA Margin</w:t>
            </w:r>
          </w:p>
        </w:tc>
        <w:tc>
          <w:tcPr>
            <w:tcW w:w="796"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Residential Connectivity &amp; Platforms</w:t>
            </w:r>
          </w:p>
        </w:tc>
        <w:tc>
          <w:tcPr>
            <w:tcW w:w="421"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35.9</w:t>
            </w:r>
          </w:p>
        </w:tc>
        <w:tc>
          <w:tcPr>
            <w:tcW w:w="375" w:type="dxa"/>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421"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36.8</w:t>
            </w:r>
          </w:p>
        </w:tc>
        <w:tc>
          <w:tcPr>
            <w:tcW w:w="377" w:type="dxa"/>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757"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(90) bps</w:t>
            </w:r>
          </w:p>
        </w:tc>
        <w:tc>
          <w:tcPr>
            <w:tcW w:w="845"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(90) bps</w:t>
            </w:r>
          </w:p>
        </w:tc>
        <w:tc>
          <w:tcPr>
            <w:tcW w:w="32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Business Services Connectivity</w:t>
            </w:r>
          </w:p>
        </w:tc>
        <w:tc>
          <w:tcPr>
            <w:tcW w:w="421"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55.9</w:t>
            </w:r>
          </w:p>
        </w:tc>
        <w:tc>
          <w:tcPr>
            <w:tcW w:w="375" w:type="dxa"/>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421"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56.4</w:t>
            </w:r>
          </w:p>
        </w:tc>
        <w:tc>
          <w:tcPr>
            <w:tcW w:w="377" w:type="dxa"/>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757"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(50) bps</w:t>
            </w:r>
          </w:p>
        </w:tc>
        <w:tc>
          <w:tcPr>
            <w:tcW w:w="845"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(50) bps</w:t>
            </w:r>
          </w:p>
        </w:tc>
        <w:tc>
          <w:tcPr>
            <w:tcW w:w="32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Total Connectivity &amp; Platforms Adjusted EBITDA Margin</w:t>
            </w:r>
          </w:p>
        </w:tc>
        <w:tc>
          <w:tcPr>
            <w:tcW w:w="421" w:type="dxa"/>
            <w:gridSpan w:val="2"/>
            <w:tcBorders>
              <w:top w:val="single" w:sz="4" w:space="0" w:color="000000"/>
            </w:tcBorders>
            <w:shd w:fill="D9D9D6"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6"/>
              </w:rPr>
            </w:pPr>
            <w:r>
              <w:rPr>
                <w:rFonts w:ascii="Helvetica;sans-serif" w:hAnsi="Helvetica;sans-serif"/>
                <w:b/>
                <w:color w:val="000000"/>
                <w:sz w:val="16"/>
              </w:rPr>
              <w:t>38.6</w:t>
            </w:r>
          </w:p>
        </w:tc>
        <w:tc>
          <w:tcPr>
            <w:tcW w:w="375" w:type="dxa"/>
            <w:tcBorders>
              <w:top w:val="single" w:sz="4" w:space="0" w:color="000000"/>
            </w:tcBorders>
            <w:shd w:fill="D9D9D6"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w:t>
            </w:r>
          </w:p>
        </w:tc>
        <w:tc>
          <w:tcPr>
            <w:tcW w:w="421" w:type="dxa"/>
            <w:gridSpan w:val="2"/>
            <w:tcBorders>
              <w:top w:val="single" w:sz="4" w:space="0" w:color="000000"/>
            </w:tcBorders>
            <w:shd w:fill="D9D9D6"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6"/>
              </w:rPr>
            </w:pPr>
            <w:r>
              <w:rPr>
                <w:rFonts w:ascii="Helvetica;sans-serif" w:hAnsi="Helvetica;sans-serif"/>
                <w:b/>
                <w:color w:val="000000"/>
                <w:sz w:val="16"/>
              </w:rPr>
              <w:t>39.3</w:t>
            </w:r>
          </w:p>
        </w:tc>
        <w:tc>
          <w:tcPr>
            <w:tcW w:w="377" w:type="dxa"/>
            <w:tcBorders>
              <w:top w:val="single" w:sz="4" w:space="0" w:color="000000"/>
            </w:tcBorders>
            <w:shd w:fill="D9D9D6"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w:t>
            </w:r>
          </w:p>
        </w:tc>
        <w:tc>
          <w:tcPr>
            <w:tcW w:w="757" w:type="dxa"/>
            <w:gridSpan w:val="3"/>
            <w:tcBorders>
              <w:top w:val="single" w:sz="4" w:space="0" w:color="000000"/>
            </w:tcBorders>
            <w:shd w:fill="D9D9D6"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6"/>
              </w:rPr>
            </w:pPr>
            <w:r>
              <w:rPr>
                <w:rFonts w:ascii="Helvetica;sans-serif" w:hAnsi="Helvetica;sans-serif"/>
                <w:b/>
                <w:color w:val="000000"/>
                <w:sz w:val="16"/>
              </w:rPr>
              <w:t>(70) bps</w:t>
            </w:r>
          </w:p>
        </w:tc>
        <w:tc>
          <w:tcPr>
            <w:tcW w:w="845" w:type="dxa"/>
            <w:gridSpan w:val="3"/>
            <w:tcBorders>
              <w:top w:val="single" w:sz="4" w:space="0" w:color="000000"/>
            </w:tcBorders>
            <w:shd w:fill="D9D9D6"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6"/>
              </w:rPr>
            </w:pPr>
            <w:r>
              <w:rPr>
                <w:rFonts w:ascii="Helvetica;sans-serif" w:hAnsi="Helvetica;sans-serif"/>
                <w:b/>
                <w:color w:val="000000"/>
                <w:sz w:val="16"/>
              </w:rPr>
              <w:t>(70) bps</w:t>
            </w:r>
          </w:p>
        </w:tc>
        <w:tc>
          <w:tcPr>
            <w:tcW w:w="32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545"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75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545"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75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545"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75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545"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75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56" w:before="0" w:after="40"/>
        <w:jc w:val="both"/>
        <w:rPr>
          <w:rFonts w:ascii="Helvetica;sans-serif" w:hAnsi="Helvetica;sans-serif"/>
          <w:b w:val="false"/>
          <w:color w:val="000000"/>
          <w:sz w:val="16"/>
        </w:rPr>
      </w:pPr>
      <w:r>
        <w:rPr>
          <w:rFonts w:ascii="Helvetica;sans-serif" w:hAnsi="Helvetica;sans-serif"/>
          <w:b w:val="false"/>
          <w:color w:val="000000"/>
          <w:sz w:val="16"/>
        </w:rPr>
        <w:t>Change percentages represent year/year growth rates. The changes in Adjusted EBITDA margins are presented as year/year basis point changes in the rounded Adjusted EBITDA margins.</w:t>
      </w:r>
    </w:p>
    <w:p>
      <w:pPr>
        <w:pStyle w:val="TextBody"/>
        <w:bidi w:val="0"/>
        <w:spacing w:before="0" w:after="40"/>
        <w:jc w:val="both"/>
        <w:rPr/>
      </w:pPr>
      <w:r>
        <w:rPr/>
      </w:r>
    </w:p>
    <w:p>
      <w:pPr>
        <w:pStyle w:val="TextBody"/>
        <w:bidi w:val="0"/>
        <w:spacing w:lineRule="auto" w:line="256" w:before="0" w:after="0"/>
        <w:jc w:val="both"/>
        <w:rPr/>
      </w:pPr>
      <w:r>
        <w:rPr>
          <w:rFonts w:ascii="Helvetica;sans-serif" w:hAnsi="Helvetica;sans-serif"/>
          <w:b/>
          <w:i/>
          <w:color w:val="000000"/>
          <w:sz w:val="20"/>
        </w:rPr>
        <w:t xml:space="preserve">Revenue </w:t>
      </w:r>
      <w:r>
        <w:rPr>
          <w:rFonts w:ascii="Helvetica;sans-serif" w:hAnsi="Helvetica;sans-serif"/>
          <w:b w:val="false"/>
          <w:color w:val="000000"/>
          <w:sz w:val="20"/>
        </w:rPr>
        <w:t xml:space="preserve">for Connectivity &amp; Platforms decreased compared to the prior year period. </w:t>
      </w:r>
      <w:r>
        <w:rPr>
          <w:rFonts w:ascii="Helvetica;sans-serif" w:hAnsi="Helvetica;sans-serif"/>
          <w:b/>
          <w:i/>
          <w:color w:val="000000"/>
          <w:sz w:val="20"/>
        </w:rPr>
        <w:t xml:space="preserve">Adjusted EBITDA </w:t>
      </w:r>
      <w:r>
        <w:rPr>
          <w:rFonts w:ascii="Helvetica;sans-serif" w:hAnsi="Helvetica;sans-serif"/>
          <w:b w:val="false"/>
          <w:color w:val="000000"/>
          <w:sz w:val="20"/>
        </w:rPr>
        <w:t xml:space="preserve">decreased due to a decline in Residential Connectivity &amp; Platforms, partially offset by growth in Business Services Connectivity. Residential Connectivity &amp; Platforms revenue and Adjusted EBITDA performance reflect the investment in our go-to-market strategy. </w:t>
      </w:r>
      <w:r>
        <w:rPr>
          <w:rFonts w:ascii="Helvetica;sans-serif" w:hAnsi="Helvetica;sans-serif"/>
          <w:b/>
          <w:i/>
          <w:color w:val="000000"/>
          <w:sz w:val="20"/>
        </w:rPr>
        <w:t>Adjusted EBITDA margin</w:t>
      </w:r>
      <w:r>
        <w:rPr>
          <w:color w:val="000000"/>
        </w:rPr>
        <w:t xml:space="preserve"> </w:t>
      </w:r>
      <w:r>
        <w:rPr>
          <w:rFonts w:ascii="Helvetica;sans-serif" w:hAnsi="Helvetica;sans-serif"/>
          <w:b w:val="false"/>
          <w:color w:val="000000"/>
          <w:sz w:val="20"/>
        </w:rPr>
        <w:t>was 38.6%.</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16840"/>
                <wp:effectExtent l="0" t="0" r="0" b="0"/>
                <wp:wrapNone/>
                <wp:docPr id="6" name="Frame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16"/>
                              </w:rPr>
                            </w:pPr>
                            <w:r>
                              <w:rPr>
                                <w:rFonts w:ascii="Helvetica;sans-serif" w:hAnsi="Helvetica;sans-serif"/>
                                <w:b w:val="false"/>
                                <w:color w:val="000000"/>
                                <w:sz w:val="16"/>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16"/>
                        </w:rPr>
                      </w:pPr>
                      <w:r>
                        <w:rPr>
                          <w:rFonts w:ascii="Helvetica;sans-serif" w:hAnsi="Helvetica;sans-serif"/>
                          <w:b w:val="false"/>
                          <w:color w:val="000000"/>
                          <w:sz w:val="16"/>
                        </w:rPr>
                        <w:t>2</w:t>
                      </w:r>
                    </w:p>
                  </w:txbxContent>
                </v:textbox>
                <w10:wrap type="none"/>
              </v:rect>
            </w:pict>
          </mc:Fallback>
        </mc:AlternateContent>
      </w:r>
    </w:p>
    <w:tbl>
      <w:tblPr>
        <w:tblW w:w="9823" w:type="dxa"/>
        <w:jc w:val="left"/>
        <w:tblInd w:w="0" w:type="dxa"/>
        <w:tblLayout w:type="fixed"/>
        <w:tblCellMar>
          <w:top w:w="28" w:type="dxa"/>
          <w:left w:w="28" w:type="dxa"/>
          <w:bottom w:w="28" w:type="dxa"/>
          <w:right w:w="28" w:type="dxa"/>
        </w:tblCellMar>
      </w:tblPr>
      <w:tblGrid>
        <w:gridCol w:w="124"/>
        <w:gridCol w:w="109"/>
        <w:gridCol w:w="109"/>
        <w:gridCol w:w="1829"/>
        <w:gridCol w:w="1829"/>
        <w:gridCol w:w="1847"/>
        <w:gridCol w:w="199"/>
        <w:gridCol w:w="199"/>
        <w:gridCol w:w="203"/>
        <w:gridCol w:w="199"/>
        <w:gridCol w:w="199"/>
        <w:gridCol w:w="203"/>
        <w:gridCol w:w="109"/>
        <w:gridCol w:w="308"/>
        <w:gridCol w:w="308"/>
        <w:gridCol w:w="308"/>
        <w:gridCol w:w="308"/>
        <w:gridCol w:w="308"/>
        <w:gridCol w:w="317"/>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9" w:type="dxa"/>
            <w:tcBorders/>
            <w:vAlign w:val="center"/>
          </w:tcPr>
          <w:p>
            <w:pPr>
              <w:pStyle w:val="TableContents"/>
              <w:bidi w:val="0"/>
              <w:spacing w:before="0" w:after="283"/>
              <w:jc w:val="left"/>
              <w:rPr>
                <w:sz w:val="4"/>
                <w:szCs w:val="4"/>
              </w:rPr>
            </w:pPr>
            <w:r>
              <w:rPr>
                <w:sz w:val="4"/>
                <w:szCs w:val="4"/>
              </w:rPr>
            </w:r>
          </w:p>
        </w:tc>
        <w:tc>
          <w:tcPr>
            <w:tcW w:w="1829" w:type="dxa"/>
            <w:tcBorders/>
            <w:vAlign w:val="center"/>
          </w:tcPr>
          <w:p>
            <w:pPr>
              <w:pStyle w:val="TableContents"/>
              <w:bidi w:val="0"/>
              <w:spacing w:before="0" w:after="283"/>
              <w:jc w:val="left"/>
              <w:rPr>
                <w:sz w:val="4"/>
                <w:szCs w:val="4"/>
              </w:rPr>
            </w:pPr>
            <w:r>
              <w:rPr>
                <w:sz w:val="4"/>
                <w:szCs w:val="4"/>
              </w:rPr>
            </w:r>
          </w:p>
        </w:tc>
        <w:tc>
          <w:tcPr>
            <w:tcW w:w="184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5"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4"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5"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12"/>
              </w:rPr>
            </w:pPr>
            <w:r>
              <w:rPr>
                <w:rFonts w:ascii="Helvetica;sans-serif" w:hAnsi="Helvetica;sans-serif"/>
                <w:b w:val="false"/>
                <w:i/>
                <w:color w:val="000000"/>
                <w:sz w:val="12"/>
              </w:rPr>
              <w:t>(in thousands)</w:t>
            </w:r>
          </w:p>
        </w:tc>
        <w:tc>
          <w:tcPr>
            <w:tcW w:w="601"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7" w:type="dxa"/>
            <w:gridSpan w:val="6"/>
            <w:vMerge w:val="restart"/>
            <w:tcBorders/>
            <w:shd w:fill="D9D9D6"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6"/>
                <w:u w:val="single"/>
              </w:rPr>
            </w:pPr>
            <w:r>
              <w:rPr>
                <w:rFonts w:ascii="Helvetica;sans-serif" w:hAnsi="Helvetica;sans-serif"/>
                <w:b w:val="false"/>
                <w:color w:val="000000"/>
                <w:sz w:val="16"/>
                <w:u w:val="single"/>
              </w:rPr>
              <w:t>Net Additions / (Losses)</w:t>
            </w:r>
          </w:p>
        </w:tc>
        <w:tc>
          <w:tcPr>
            <w:tcW w:w="109" w:type="dxa"/>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5"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6"/>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7" w:type="dxa"/>
            <w:gridSpan w:val="6"/>
            <w:vMerge w:val="continue"/>
            <w:tcBorders/>
            <w:shd w:fill="D9D9D6" w:val="clear"/>
            <w:tcMar>
              <w:top w:w="0" w:type="dxa"/>
              <w:left w:w="0" w:type="dxa"/>
              <w:bottom w:w="0" w:type="dxa"/>
              <w:right w:w="0" w:type="dxa"/>
            </w:tcMar>
            <w:vAlign w:val="center"/>
          </w:tcPr>
          <w:p>
            <w:pPr>
              <w:pStyle w:val="Normal"/>
              <w:bidi w:val="0"/>
              <w:jc w:val="left"/>
              <w:rPr/>
            </w:pPr>
            <w:r>
              <w:rPr/>
            </w:r>
          </w:p>
        </w:tc>
        <w:tc>
          <w:tcPr>
            <w:tcW w:w="109" w:type="dxa"/>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5"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7" w:type="dxa"/>
            <w:gridSpan w:val="6"/>
            <w:tcBorders/>
            <w:shd w:fill="D9D9D6"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6"/>
                <w:u w:val="single"/>
              </w:rPr>
            </w:pPr>
            <w:r>
              <w:rPr>
                <w:rFonts w:ascii="Helvetica;sans-serif" w:hAnsi="Helvetica;sans-serif"/>
                <w:b w:val="false"/>
                <w:color w:val="000000"/>
                <w:sz w:val="16"/>
                <w:u w:val="single"/>
              </w:rPr>
              <w:t>3rd Quarter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5"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u w:val="single"/>
              </w:rPr>
            </w:pPr>
            <w:r>
              <w:rPr>
                <w:rFonts w:ascii="Helvetica;sans-serif" w:hAnsi="Helvetica;sans-serif"/>
                <w:b w:val="false"/>
                <w:color w:val="000000"/>
                <w:sz w:val="16"/>
                <w:u w:val="single"/>
              </w:rPr>
              <w:t>3Q26</w:t>
            </w:r>
          </w:p>
        </w:tc>
        <w:tc>
          <w:tcPr>
            <w:tcW w:w="601"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u w:val="single"/>
              </w:rPr>
            </w:pPr>
            <w:r>
              <w:rPr>
                <w:rFonts w:ascii="Helvetica;sans-serif" w:hAnsi="Helvetica;sans-serif"/>
                <w:b w:val="false"/>
                <w:color w:val="000000"/>
                <w:sz w:val="16"/>
                <w:u w:val="single"/>
              </w:rPr>
              <w:t>3Q25</w:t>
            </w:r>
          </w:p>
        </w:tc>
        <w:tc>
          <w:tcPr>
            <w:tcW w:w="109" w:type="dxa"/>
            <w:tcBorders/>
            <w:vAlign w:val="center"/>
          </w:tcPr>
          <w:p>
            <w:pPr>
              <w:pStyle w:val="TableContents"/>
              <w:bidi w:val="0"/>
              <w:spacing w:before="0" w:after="283"/>
              <w:jc w:val="left"/>
              <w:rPr>
                <w:sz w:val="4"/>
                <w:szCs w:val="4"/>
              </w:rPr>
            </w:pPr>
            <w:r>
              <w:rPr>
                <w:sz w:val="4"/>
                <w:szCs w:val="4"/>
              </w:rPr>
            </w:r>
          </w:p>
        </w:tc>
        <w:tc>
          <w:tcPr>
            <w:tcW w:w="924"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u w:val="single"/>
              </w:rPr>
            </w:pPr>
            <w:r>
              <w:rPr>
                <w:rFonts w:ascii="Helvetica;sans-serif" w:hAnsi="Helvetica;sans-serif"/>
                <w:b w:val="false"/>
                <w:color w:val="000000"/>
                <w:sz w:val="16"/>
                <w:u w:val="single"/>
              </w:rPr>
              <w:t>2026</w:t>
            </w:r>
          </w:p>
        </w:tc>
        <w:tc>
          <w:tcPr>
            <w:tcW w:w="933"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u w:val="single"/>
              </w:rPr>
            </w:pPr>
            <w:r>
              <w:rPr>
                <w:rFonts w:ascii="Helvetica;sans-serif" w:hAnsi="Helvetica;sans-serif"/>
                <w:b w:val="false"/>
                <w:color w:val="000000"/>
                <w:sz w:val="16"/>
                <w:u w:val="single"/>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5"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Residential Connectivity &amp; Platforms Customer Relationships</w:t>
            </w:r>
          </w:p>
        </w:tc>
        <w:tc>
          <w:tcPr>
            <w:tcW w:w="601"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4"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5"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Domestic Residential Connectivity &amp; Platforms Customer Relationships</w:t>
            </w:r>
          </w:p>
        </w:tc>
        <w:tc>
          <w:tcPr>
            <w:tcW w:w="601"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30,040</w:t>
            </w:r>
          </w:p>
        </w:tc>
        <w:tc>
          <w:tcPr>
            <w:tcW w:w="601"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30,642</w:t>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(139)</w:t>
            </w:r>
          </w:p>
        </w:tc>
        <w:tc>
          <w:tcPr>
            <w:tcW w:w="308" w:type="dxa"/>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(103)</w:t>
            </w:r>
          </w:p>
        </w:tc>
        <w:tc>
          <w:tcPr>
            <w:tcW w:w="317" w:type="dxa"/>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5" w:type="dxa"/>
            <w:gridSpan w:val="3"/>
            <w:tcBorders/>
            <w:shd w:fill="D9D9D6" w:val="clear"/>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16"/>
              </w:rPr>
              <w:t>International Residential Connectivity &amp; Platforms Customer Relationships</w:t>
            </w:r>
            <w:r>
              <w:rPr>
                <w:rFonts w:ascii="Helvetica;sans-serif" w:hAnsi="Helvetica;sans-serif"/>
                <w:b w:val="false"/>
                <w:color w:val="000000"/>
                <w:sz w:val="10"/>
              </w:rPr>
              <w:t>8</w:t>
            </w:r>
          </w:p>
        </w:tc>
        <w:tc>
          <w:tcPr>
            <w:tcW w:w="601"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17,712</w:t>
            </w:r>
          </w:p>
        </w:tc>
        <w:tc>
          <w:tcPr>
            <w:tcW w:w="601"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17,477</w:t>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173 </w:t>
            </w:r>
          </w:p>
        </w:tc>
        <w:tc>
          <w:tcPr>
            <w:tcW w:w="308" w:type="dxa"/>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(95)</w:t>
            </w:r>
          </w:p>
        </w:tc>
        <w:tc>
          <w:tcPr>
            <w:tcW w:w="317" w:type="dxa"/>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5" w:type="dxa"/>
            <w:gridSpan w:val="3"/>
            <w:tcBorders/>
            <w:shd w:fill="D9D9D6" w:val="clear"/>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color w:val="000000"/>
                <w:sz w:val="16"/>
              </w:rPr>
              <w:t>Total Residential Connectivity &amp; Platforms Customer Relationships</w:t>
            </w:r>
            <w:r>
              <w:rPr>
                <w:rFonts w:ascii="Helvetica;sans-serif" w:hAnsi="Helvetica;sans-serif"/>
                <w:b/>
                <w:color w:val="000000"/>
                <w:sz w:val="10"/>
              </w:rPr>
              <w:t>8</w:t>
            </w:r>
          </w:p>
        </w:tc>
        <w:tc>
          <w:tcPr>
            <w:tcW w:w="601" w:type="dxa"/>
            <w:gridSpan w:val="3"/>
            <w:tcBorders>
              <w:top w:val="single" w:sz="8" w:space="0" w:color="000000"/>
            </w:tcBorders>
            <w:shd w:fill="D9D9D6"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6"/>
              </w:rPr>
            </w:pPr>
            <w:r>
              <w:rPr>
                <w:rFonts w:ascii="Helvetica;sans-serif" w:hAnsi="Helvetica;sans-serif"/>
                <w:b/>
                <w:color w:val="000000"/>
                <w:sz w:val="16"/>
              </w:rPr>
              <w:t>47,751</w:t>
            </w:r>
          </w:p>
        </w:tc>
        <w:tc>
          <w:tcPr>
            <w:tcW w:w="601" w:type="dxa"/>
            <w:gridSpan w:val="3"/>
            <w:tcBorders>
              <w:top w:val="single" w:sz="8" w:space="0" w:color="000000"/>
            </w:tcBorders>
            <w:shd w:fill="D9D9D6"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6"/>
              </w:rPr>
            </w:pPr>
            <w:r>
              <w:rPr>
                <w:rFonts w:ascii="Helvetica;sans-serif" w:hAnsi="Helvetica;sans-serif"/>
                <w:b/>
                <w:color w:val="000000"/>
                <w:sz w:val="16"/>
              </w:rPr>
              <w:t>48,120</w:t>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6"/>
              </w:rPr>
              <w:t>33</w:t>
            </w:r>
            <w:r>
              <w:rPr>
                <w:color w:val="000000"/>
              </w:rPr>
              <w:t> </w:t>
            </w:r>
          </w:p>
        </w:tc>
        <w:tc>
          <w:tcPr>
            <w:tcW w:w="30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6"/>
              </w:rPr>
            </w:pPr>
            <w:r>
              <w:rPr>
                <w:rFonts w:ascii="Helvetica;sans-serif" w:hAnsi="Helvetica;sans-serif"/>
                <w:b/>
                <w:color w:val="000000"/>
                <w:sz w:val="16"/>
              </w:rPr>
              <w:t>(199)</w:t>
            </w:r>
          </w:p>
        </w:tc>
        <w:tc>
          <w:tcPr>
            <w:tcW w:w="31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5"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4"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5"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Total Domestic Broadband Residential Customers</w:t>
            </w:r>
          </w:p>
        </w:tc>
        <w:tc>
          <w:tcPr>
            <w:tcW w:w="601"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6"/>
              </w:rPr>
            </w:pPr>
            <w:r>
              <w:rPr>
                <w:rFonts w:ascii="Helvetica;sans-serif" w:hAnsi="Helvetica;sans-serif"/>
                <w:b/>
                <w:color w:val="000000"/>
                <w:sz w:val="16"/>
              </w:rPr>
              <w:t>28,343</w:t>
            </w:r>
          </w:p>
        </w:tc>
        <w:tc>
          <w:tcPr>
            <w:tcW w:w="601"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6"/>
              </w:rPr>
            </w:pPr>
            <w:r>
              <w:rPr>
                <w:rFonts w:ascii="Helvetica;sans-serif" w:hAnsi="Helvetica;sans-serif"/>
                <w:b/>
                <w:color w:val="000000"/>
                <w:sz w:val="16"/>
              </w:rPr>
              <w:t>28,897</w:t>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6"/>
              </w:rPr>
            </w:pPr>
            <w:r>
              <w:rPr>
                <w:rFonts w:ascii="Helvetica;sans-serif" w:hAnsi="Helvetica;sans-serif"/>
                <w:b/>
                <w:color w:val="000000"/>
                <w:sz w:val="16"/>
              </w:rPr>
              <w:t>(144)</w:t>
            </w:r>
          </w:p>
        </w:tc>
        <w:tc>
          <w:tcPr>
            <w:tcW w:w="308" w:type="dxa"/>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6"/>
              </w:rPr>
            </w:pPr>
            <w:r>
              <w:rPr>
                <w:rFonts w:ascii="Helvetica;sans-serif" w:hAnsi="Helvetica;sans-serif"/>
                <w:b/>
                <w:color w:val="000000"/>
                <w:sz w:val="16"/>
              </w:rPr>
              <w:t>(91)</w:t>
            </w:r>
          </w:p>
        </w:tc>
        <w:tc>
          <w:tcPr>
            <w:tcW w:w="317" w:type="dxa"/>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5"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4"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5"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Total Domestic Wireless Lines</w:t>
            </w:r>
          </w:p>
        </w:tc>
        <w:tc>
          <w:tcPr>
            <w:tcW w:w="601"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6"/>
              </w:rPr>
            </w:pPr>
            <w:r>
              <w:rPr>
                <w:rFonts w:ascii="Helvetica;sans-serif" w:hAnsi="Helvetica;sans-serif"/>
                <w:b/>
                <w:color w:val="000000"/>
                <w:sz w:val="16"/>
              </w:rPr>
              <w:t>10,555</w:t>
            </w:r>
          </w:p>
        </w:tc>
        <w:tc>
          <w:tcPr>
            <w:tcW w:w="601"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6"/>
              </w:rPr>
            </w:pPr>
            <w:r>
              <w:rPr>
                <w:rFonts w:ascii="Helvetica;sans-serif" w:hAnsi="Helvetica;sans-serif"/>
                <w:b/>
                <w:color w:val="000000"/>
                <w:sz w:val="16"/>
              </w:rPr>
              <w:t>8,941</w:t>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6"/>
              </w:rPr>
              <w:t>368</w:t>
            </w:r>
            <w:r>
              <w:rPr>
                <w:color w:val="000000"/>
              </w:rPr>
              <w:t> </w:t>
            </w:r>
          </w:p>
        </w:tc>
        <w:tc>
          <w:tcPr>
            <w:tcW w:w="308" w:type="dxa"/>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6"/>
              </w:rPr>
              <w:t>414</w:t>
            </w:r>
            <w:r>
              <w:rPr>
                <w:color w:val="000000"/>
              </w:rPr>
              <w:t> </w:t>
            </w:r>
          </w:p>
        </w:tc>
        <w:tc>
          <w:tcPr>
            <w:tcW w:w="317" w:type="dxa"/>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5"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4"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5"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Total Domestic Video Customers</w:t>
            </w:r>
          </w:p>
        </w:tc>
        <w:tc>
          <w:tcPr>
            <w:tcW w:w="601"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6"/>
              </w:rPr>
            </w:pPr>
            <w:r>
              <w:rPr>
                <w:rFonts w:ascii="Helvetica;sans-serif" w:hAnsi="Helvetica;sans-serif"/>
                <w:b/>
                <w:color w:val="000000"/>
                <w:sz w:val="16"/>
              </w:rPr>
              <w:t>10,394</w:t>
            </w:r>
          </w:p>
        </w:tc>
        <w:tc>
          <w:tcPr>
            <w:tcW w:w="601"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6"/>
              </w:rPr>
            </w:pPr>
            <w:r>
              <w:rPr>
                <w:rFonts w:ascii="Helvetica;sans-serif" w:hAnsi="Helvetica;sans-serif"/>
                <w:b/>
                <w:color w:val="000000"/>
                <w:sz w:val="16"/>
              </w:rPr>
              <w:t>11,515</w:t>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6"/>
              </w:rPr>
            </w:pPr>
            <w:r>
              <w:rPr>
                <w:rFonts w:ascii="Helvetica;sans-serif" w:hAnsi="Helvetica;sans-serif"/>
                <w:b/>
                <w:color w:val="000000"/>
                <w:sz w:val="16"/>
              </w:rPr>
              <w:t>(274)</w:t>
            </w:r>
          </w:p>
        </w:tc>
        <w:tc>
          <w:tcPr>
            <w:tcW w:w="308" w:type="dxa"/>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6"/>
              </w:rPr>
            </w:pPr>
            <w:r>
              <w:rPr>
                <w:rFonts w:ascii="Helvetica;sans-serif" w:hAnsi="Helvetica;sans-serif"/>
                <w:b/>
                <w:color w:val="000000"/>
                <w:sz w:val="16"/>
              </w:rPr>
              <w:t>(257)</w:t>
            </w:r>
          </w:p>
        </w:tc>
        <w:tc>
          <w:tcPr>
            <w:tcW w:w="317" w:type="dxa"/>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5"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4"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5505"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5505"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68" w:before="0" w:after="0"/>
        <w:jc w:val="both"/>
        <w:rPr/>
      </w:pPr>
      <w:r>
        <w:rPr>
          <w:rFonts w:ascii="Helvetica;sans-serif" w:hAnsi="Helvetica;sans-serif"/>
          <w:b/>
          <w:i/>
          <w:color w:val="000000"/>
          <w:sz w:val="20"/>
        </w:rPr>
        <w:t>Total Customer Relationships</w:t>
      </w:r>
      <w:r>
        <w:rPr>
          <w:color w:val="000000"/>
        </w:rPr>
        <w:t xml:space="preserve"> </w:t>
      </w:r>
      <w:r>
        <w:rPr>
          <w:rFonts w:ascii="Helvetica;sans-serif" w:hAnsi="Helvetica;sans-serif"/>
          <w:b w:val="false"/>
          <w:color w:val="000000"/>
          <w:sz w:val="20"/>
        </w:rPr>
        <w:t>for Residential Connectivity &amp; Platforms increased by 33,000 to 47.8 million, reflecting an increase in international residential customer relationships, partially offset by a decrease in domestic residential customer relationships. Total domestic broadband residential customer net losses were 144,000, total domestic wireless line net additions were 368,000 and total domestic video customer net losses were 274,000.</w:t>
      </w:r>
    </w:p>
    <w:p>
      <w:pPr>
        <w:pStyle w:val="TextBody"/>
        <w:bidi w:val="0"/>
        <w:spacing w:before="0" w:after="0"/>
        <w:jc w:val="both"/>
        <w:rPr/>
      </w:pPr>
      <w:r>
        <w:rPr/>
      </w:r>
    </w:p>
    <w:p>
      <w:pPr>
        <w:pStyle w:val="TextBody"/>
        <w:bidi w:val="0"/>
        <w:spacing w:lineRule="auto" w:line="256" w:before="0" w:after="0"/>
        <w:jc w:val="both"/>
        <w:rPr>
          <w:rFonts w:ascii="Helvetica;sans-serif" w:hAnsi="Helvetica;sans-serif"/>
          <w:b/>
          <w:color w:val="000000"/>
          <w:sz w:val="20"/>
        </w:rPr>
      </w:pPr>
      <w:r>
        <w:rPr>
          <w:rFonts w:ascii="Helvetica;sans-serif" w:hAnsi="Helvetica;sans-serif"/>
          <w:b/>
          <w:color w:val="000000"/>
          <w:sz w:val="20"/>
        </w:rPr>
        <w:t>Residential Connectivity &amp; Platforms</w:t>
      </w:r>
    </w:p>
    <w:p>
      <w:pPr>
        <w:pStyle w:val="TextBody"/>
        <w:bidi w:val="0"/>
        <w:spacing w:before="0" w:after="0"/>
        <w:jc w:val="both"/>
        <w:rPr/>
      </w:pPr>
      <w:r>
        <w:rPr/>
      </w:r>
    </w:p>
    <w:tbl>
      <w:tblPr>
        <w:tblW w:w="7135" w:type="dxa"/>
        <w:jc w:val="left"/>
        <w:tblInd w:w="0" w:type="dxa"/>
        <w:tblLayout w:type="fixed"/>
        <w:tblCellMar>
          <w:top w:w="28" w:type="dxa"/>
          <w:left w:w="28" w:type="dxa"/>
          <w:bottom w:w="28" w:type="dxa"/>
          <w:right w:w="28" w:type="dxa"/>
        </w:tblCellMar>
      </w:tblPr>
      <w:tblGrid>
        <w:gridCol w:w="124"/>
        <w:gridCol w:w="109"/>
        <w:gridCol w:w="109"/>
        <w:gridCol w:w="855"/>
        <w:gridCol w:w="855"/>
        <w:gridCol w:w="825"/>
        <w:gridCol w:w="210"/>
        <w:gridCol w:w="211"/>
        <w:gridCol w:w="375"/>
        <w:gridCol w:w="210"/>
        <w:gridCol w:w="211"/>
        <w:gridCol w:w="353"/>
        <w:gridCol w:w="209"/>
        <w:gridCol w:w="212"/>
        <w:gridCol w:w="366"/>
        <w:gridCol w:w="209"/>
        <w:gridCol w:w="212"/>
        <w:gridCol w:w="454"/>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12"/>
              </w:rPr>
            </w:pPr>
            <w:r>
              <w:rPr>
                <w:rFonts w:ascii="Helvetica;sans-serif" w:hAnsi="Helvetica;sans-serif"/>
                <w:b w:val="false"/>
                <w:i/>
                <w:color w:val="000000"/>
                <w:sz w:val="12"/>
              </w:rPr>
              <w:t>($ in millions)</w:t>
            </w:r>
          </w:p>
        </w:tc>
        <w:tc>
          <w:tcPr>
            <w:tcW w:w="796"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vMerge w:val="restart"/>
            <w:tcBorders/>
            <w:shd w:fill="D9D9D6" w:val="clear"/>
            <w:tcMar>
              <w:top w:w="0" w:type="dxa"/>
              <w:left w:w="0" w:type="dxa"/>
              <w:bottom w:w="0" w:type="dxa"/>
              <w:right w:w="0" w:type="dxa"/>
            </w:tcMar>
            <w:vAlign w:val="center"/>
          </w:tcPr>
          <w:p>
            <w:pPr>
              <w:pStyle w:val="TableContents"/>
              <w:bidi w:val="0"/>
              <w:spacing w:lineRule="auto" w:line="240" w:before="0" w:after="0"/>
              <w:jc w:val="right"/>
              <w:rPr/>
            </w:pPr>
            <w:r>
              <w:rPr>
                <w:rFonts w:ascii="Helvetica;sans-serif" w:hAnsi="Helvetica;sans-serif"/>
                <w:b w:val="false"/>
                <w:color w:val="000000"/>
                <w:sz w:val="16"/>
              </w:rPr>
              <w:t xml:space="preserve">Constant </w:t>
              <w:br/>
              <w:t xml:space="preserve">Currency </w:t>
              <w:br/>
            </w:r>
            <w:r>
              <w:rPr>
                <w:rFonts w:ascii="Helvetica;sans-serif" w:hAnsi="Helvetica;sans-serif"/>
                <w:b w:val="false"/>
                <w:color w:val="000000"/>
                <w:sz w:val="16"/>
                <w:u w:val="single"/>
              </w:rPr>
              <w:t>Change</w:t>
            </w:r>
            <w:r>
              <w:rPr>
                <w:rFonts w:ascii="Helvetica;sans-serif" w:hAnsi="Helvetica;sans-serif"/>
                <w:b w:val="false"/>
                <w:color w:val="000000"/>
                <w:sz w:val="10"/>
              </w:rPr>
              <w:t>7</w:t>
            </w:r>
          </w:p>
        </w:tc>
        <w:tc>
          <w:tcPr>
            <w:tcW w:w="32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7" w:type="dxa"/>
            <w:gridSpan w:val="9"/>
            <w:tcBorders/>
            <w:shd w:fill="D9D9D6"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6"/>
                <w:u w:val="single"/>
              </w:rPr>
            </w:pPr>
            <w:r>
              <w:rPr>
                <w:rFonts w:ascii="Helvetica;sans-serif" w:hAnsi="Helvetica;sans-serif"/>
                <w:b w:val="false"/>
                <w:color w:val="000000"/>
                <w:sz w:val="16"/>
                <w:u w:val="single"/>
              </w:rPr>
              <w:t>3rd Quarter</w:t>
            </w:r>
          </w:p>
        </w:tc>
        <w:tc>
          <w:tcPr>
            <w:tcW w:w="875" w:type="dxa"/>
            <w:gridSpan w:val="3"/>
            <w:vMerge w:val="continue"/>
            <w:tcBorders/>
            <w:shd w:fill="D9D9D6" w:val="clear"/>
            <w:tcMar>
              <w:top w:w="0" w:type="dxa"/>
              <w:left w:w="0" w:type="dxa"/>
              <w:bottom w:w="0" w:type="dxa"/>
              <w:right w:w="0" w:type="dxa"/>
            </w:tcMar>
            <w:vAlign w:val="center"/>
          </w:tcPr>
          <w:p>
            <w:pPr>
              <w:pStyle w:val="Normal"/>
              <w:bidi w:val="0"/>
              <w:jc w:val="left"/>
              <w:rPr/>
            </w:pPr>
            <w:r>
              <w:rPr/>
            </w:r>
          </w:p>
        </w:tc>
        <w:tc>
          <w:tcPr>
            <w:tcW w:w="32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u w:val="single"/>
              </w:rPr>
            </w:pPr>
            <w:r>
              <w:rPr>
                <w:rFonts w:ascii="Helvetica;sans-serif" w:hAnsi="Helvetica;sans-serif"/>
                <w:b w:val="false"/>
                <w:color w:val="000000"/>
                <w:sz w:val="16"/>
                <w:u w:val="single"/>
              </w:rPr>
              <w:t>2026</w:t>
            </w:r>
          </w:p>
        </w:tc>
        <w:tc>
          <w:tcPr>
            <w:tcW w:w="774" w:type="dxa"/>
            <w:gridSpan w:val="3"/>
            <w:vMerge w:val="restart"/>
            <w:tcBorders/>
            <w:shd w:fill="D9D9D6" w:val="clear"/>
            <w:tcMar>
              <w:top w:w="0" w:type="dxa"/>
              <w:left w:w="0" w:type="dxa"/>
              <w:bottom w:w="0" w:type="dxa"/>
              <w:right w:w="0" w:type="dxa"/>
            </w:tcMar>
            <w:vAlign w:val="center"/>
          </w:tcPr>
          <w:p>
            <w:pPr>
              <w:pStyle w:val="TableContents"/>
              <w:bidi w:val="0"/>
              <w:spacing w:lineRule="auto" w:line="240" w:before="0" w:after="0"/>
              <w:jc w:val="right"/>
              <w:rPr/>
            </w:pPr>
            <w:r>
              <w:rPr>
                <w:rFonts w:ascii="Helvetica;sans-serif" w:hAnsi="Helvetica;sans-serif"/>
                <w:b w:val="false"/>
                <w:color w:val="000000"/>
                <w:sz w:val="16"/>
                <w:u w:val="single"/>
              </w:rPr>
              <w:t>2025</w:t>
            </w:r>
            <w:r>
              <w:rPr>
                <w:rFonts w:ascii="Helvetica;sans-serif" w:hAnsi="Helvetica;sans-serif"/>
                <w:b w:val="false"/>
                <w:color w:val="000000"/>
                <w:sz w:val="10"/>
              </w:rPr>
              <w:t>6, 9</w:t>
            </w:r>
          </w:p>
        </w:tc>
        <w:tc>
          <w:tcPr>
            <w:tcW w:w="787"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u w:val="single"/>
              </w:rPr>
            </w:pPr>
            <w:r>
              <w:rPr>
                <w:rFonts w:ascii="Helvetica;sans-serif" w:hAnsi="Helvetica;sans-serif"/>
                <w:b w:val="false"/>
                <w:color w:val="000000"/>
                <w:sz w:val="16"/>
                <w:u w:val="single"/>
              </w:rPr>
              <w:t>Change</w:t>
            </w:r>
          </w:p>
        </w:tc>
        <w:tc>
          <w:tcPr>
            <w:tcW w:w="875" w:type="dxa"/>
            <w:gridSpan w:val="3"/>
            <w:vMerge w:val="continue"/>
            <w:tcBorders/>
            <w:shd w:fill="D9D9D6" w:val="clear"/>
            <w:tcMar>
              <w:top w:w="0" w:type="dxa"/>
              <w:left w:w="0" w:type="dxa"/>
              <w:bottom w:w="0" w:type="dxa"/>
              <w:right w:w="0" w:type="dxa"/>
            </w:tcMar>
            <w:vAlign w:val="center"/>
          </w:tcPr>
          <w:p>
            <w:pPr>
              <w:pStyle w:val="Normal"/>
              <w:bidi w:val="0"/>
              <w:jc w:val="left"/>
              <w:rPr/>
            </w:pPr>
            <w:r>
              <w:rPr/>
            </w:r>
          </w:p>
        </w:tc>
        <w:tc>
          <w:tcPr>
            <w:tcW w:w="32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2535"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774" w:type="dxa"/>
            <w:gridSpan w:val="3"/>
            <w:vMerge w:val="continue"/>
            <w:tcBorders/>
            <w:shd w:fill="D9D9D6" w:val="clear"/>
            <w:tcMar>
              <w:top w:w="0" w:type="dxa"/>
              <w:left w:w="0" w:type="dxa"/>
              <w:bottom w:w="0" w:type="dxa"/>
              <w:right w:w="0" w:type="dxa"/>
            </w:tcMar>
            <w:vAlign w:val="center"/>
          </w:tcPr>
          <w:p>
            <w:pPr>
              <w:pStyle w:val="Normal"/>
              <w:bidi w:val="0"/>
              <w:jc w:val="left"/>
              <w:rPr/>
            </w:pPr>
            <w:r>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2535"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774" w:type="dxa"/>
            <w:gridSpan w:val="3"/>
            <w:vMerge w:val="continue"/>
            <w:tcBorders/>
            <w:shd w:fill="D9D9D6" w:val="clear"/>
            <w:tcMar>
              <w:top w:w="0" w:type="dxa"/>
              <w:left w:w="0" w:type="dxa"/>
              <w:bottom w:w="0" w:type="dxa"/>
              <w:right w:w="0" w:type="dxa"/>
            </w:tcMar>
            <w:vAlign w:val="center"/>
          </w:tcPr>
          <w:p>
            <w:pPr>
              <w:pStyle w:val="Normal"/>
              <w:bidi w:val="0"/>
              <w:jc w:val="left"/>
              <w:rPr/>
            </w:pPr>
            <w:r>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2535"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2535"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2535"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2535"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2535"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2535"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Revenue</w:t>
            </w:r>
          </w:p>
        </w:tc>
        <w:tc>
          <w:tcPr>
            <w:tcW w:w="796"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Domestic Broadband</w:t>
            </w:r>
          </w:p>
        </w:tc>
        <w:tc>
          <w:tcPr>
            <w:tcW w:w="796"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$6,241</w:t>
            </w:r>
          </w:p>
        </w:tc>
        <w:tc>
          <w:tcPr>
            <w:tcW w:w="774"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$6,550</w:t>
            </w:r>
          </w:p>
        </w:tc>
        <w:tc>
          <w:tcPr>
            <w:tcW w:w="421"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(4.7</w:t>
            </w:r>
          </w:p>
        </w:tc>
        <w:tc>
          <w:tcPr>
            <w:tcW w:w="366" w:type="dxa"/>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421"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(4.7</w:t>
            </w:r>
          </w:p>
        </w:tc>
        <w:tc>
          <w:tcPr>
            <w:tcW w:w="454" w:type="dxa"/>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Domestic Wireless Service</w:t>
            </w:r>
          </w:p>
        </w:tc>
        <w:tc>
          <w:tcPr>
            <w:tcW w:w="796"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1,050</w:t>
            </w:r>
          </w:p>
        </w:tc>
        <w:tc>
          <w:tcPr>
            <w:tcW w:w="774"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915</w:t>
            </w:r>
          </w:p>
        </w:tc>
        <w:tc>
          <w:tcPr>
            <w:tcW w:w="421"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14.7</w:t>
            </w:r>
          </w:p>
        </w:tc>
        <w:tc>
          <w:tcPr>
            <w:tcW w:w="366" w:type="dxa"/>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421"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14.7</w:t>
            </w:r>
          </w:p>
        </w:tc>
        <w:tc>
          <w:tcPr>
            <w:tcW w:w="454" w:type="dxa"/>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Domestic Convergence Revenue</w:t>
            </w:r>
          </w:p>
        </w:tc>
        <w:tc>
          <w:tcPr>
            <w:tcW w:w="796" w:type="dxa"/>
            <w:gridSpan w:val="3"/>
            <w:tcBorders>
              <w:top w:val="single" w:sz="4" w:space="0" w:color="000000"/>
            </w:tcBorders>
            <w:shd w:fill="D9D9D6"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7,292</w:t>
            </w:r>
          </w:p>
        </w:tc>
        <w:tc>
          <w:tcPr>
            <w:tcW w:w="774" w:type="dxa"/>
            <w:gridSpan w:val="3"/>
            <w:tcBorders>
              <w:top w:val="single" w:sz="4" w:space="0" w:color="000000"/>
            </w:tcBorders>
            <w:shd w:fill="D9D9D6"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7,466</w:t>
            </w:r>
          </w:p>
        </w:tc>
        <w:tc>
          <w:tcPr>
            <w:tcW w:w="421" w:type="dxa"/>
            <w:gridSpan w:val="2"/>
            <w:tcBorders>
              <w:top w:val="single" w:sz="4" w:space="0" w:color="000000"/>
            </w:tcBorders>
            <w:shd w:fill="D9D9D6"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(2.3</w:t>
            </w:r>
          </w:p>
        </w:tc>
        <w:tc>
          <w:tcPr>
            <w:tcW w:w="366" w:type="dxa"/>
            <w:tcBorders>
              <w:top w:val="single" w:sz="4" w:space="0" w:color="000000"/>
            </w:tcBorders>
            <w:shd w:fill="D9D9D6"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421" w:type="dxa"/>
            <w:gridSpan w:val="2"/>
            <w:tcBorders>
              <w:top w:val="single" w:sz="4" w:space="0" w:color="000000"/>
            </w:tcBorders>
            <w:shd w:fill="D9D9D6"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(2.3</w:t>
            </w:r>
          </w:p>
        </w:tc>
        <w:tc>
          <w:tcPr>
            <w:tcW w:w="454" w:type="dxa"/>
            <w:tcBorders>
              <w:top w:val="single" w:sz="4" w:space="0" w:color="000000"/>
            </w:tcBorders>
            <w:shd w:fill="D9D9D6"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Domestic Wireless Equipment</w:t>
            </w:r>
          </w:p>
        </w:tc>
        <w:tc>
          <w:tcPr>
            <w:tcW w:w="796"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475</w:t>
            </w:r>
          </w:p>
        </w:tc>
        <w:tc>
          <w:tcPr>
            <w:tcW w:w="774"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331</w:t>
            </w:r>
          </w:p>
        </w:tc>
        <w:tc>
          <w:tcPr>
            <w:tcW w:w="421"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43.6</w:t>
            </w:r>
          </w:p>
        </w:tc>
        <w:tc>
          <w:tcPr>
            <w:tcW w:w="366" w:type="dxa"/>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421"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43.6</w:t>
            </w:r>
          </w:p>
        </w:tc>
        <w:tc>
          <w:tcPr>
            <w:tcW w:w="454" w:type="dxa"/>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International Connectivity</w:t>
            </w:r>
          </w:p>
        </w:tc>
        <w:tc>
          <w:tcPr>
            <w:tcW w:w="796"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1,314</w:t>
            </w:r>
          </w:p>
        </w:tc>
        <w:tc>
          <w:tcPr>
            <w:tcW w:w="774"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1,275</w:t>
            </w:r>
          </w:p>
        </w:tc>
        <w:tc>
          <w:tcPr>
            <w:tcW w:w="421"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3.1</w:t>
            </w:r>
          </w:p>
        </w:tc>
        <w:tc>
          <w:tcPr>
            <w:tcW w:w="366" w:type="dxa"/>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421"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3.5</w:t>
            </w:r>
          </w:p>
        </w:tc>
        <w:tc>
          <w:tcPr>
            <w:tcW w:w="454" w:type="dxa"/>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Total Residential Connectivity</w:t>
            </w:r>
          </w:p>
        </w:tc>
        <w:tc>
          <w:tcPr>
            <w:tcW w:w="796" w:type="dxa"/>
            <w:gridSpan w:val="3"/>
            <w:tcBorders>
              <w:top w:val="single" w:sz="4" w:space="0" w:color="000000"/>
            </w:tcBorders>
            <w:shd w:fill="D9D9D6"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9,081</w:t>
            </w:r>
          </w:p>
        </w:tc>
        <w:tc>
          <w:tcPr>
            <w:tcW w:w="774" w:type="dxa"/>
            <w:gridSpan w:val="3"/>
            <w:tcBorders>
              <w:top w:val="single" w:sz="4" w:space="0" w:color="000000"/>
            </w:tcBorders>
            <w:shd w:fill="D9D9D6"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9,071</w:t>
            </w:r>
          </w:p>
        </w:tc>
        <w:tc>
          <w:tcPr>
            <w:tcW w:w="421" w:type="dxa"/>
            <w:gridSpan w:val="2"/>
            <w:tcBorders>
              <w:top w:val="single" w:sz="4" w:space="0" w:color="000000"/>
            </w:tcBorders>
            <w:shd w:fill="D9D9D6"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0.1</w:t>
            </w:r>
          </w:p>
        </w:tc>
        <w:tc>
          <w:tcPr>
            <w:tcW w:w="366" w:type="dxa"/>
            <w:tcBorders>
              <w:top w:val="single" w:sz="4" w:space="0" w:color="000000"/>
            </w:tcBorders>
            <w:shd w:fill="D9D9D6"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421" w:type="dxa"/>
            <w:gridSpan w:val="2"/>
            <w:tcBorders>
              <w:top w:val="single" w:sz="4" w:space="0" w:color="000000"/>
            </w:tcBorders>
            <w:shd w:fill="D9D9D6"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0.2</w:t>
            </w:r>
          </w:p>
        </w:tc>
        <w:tc>
          <w:tcPr>
            <w:tcW w:w="454" w:type="dxa"/>
            <w:tcBorders>
              <w:top w:val="single" w:sz="4" w:space="0" w:color="000000"/>
            </w:tcBorders>
            <w:shd w:fill="D9D9D6"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Video</w:t>
            </w:r>
          </w:p>
        </w:tc>
        <w:tc>
          <w:tcPr>
            <w:tcW w:w="796"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5,910</w:t>
            </w:r>
          </w:p>
        </w:tc>
        <w:tc>
          <w:tcPr>
            <w:tcW w:w="774"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6,475</w:t>
            </w:r>
          </w:p>
        </w:tc>
        <w:tc>
          <w:tcPr>
            <w:tcW w:w="421"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(8.7</w:t>
            </w:r>
          </w:p>
        </w:tc>
        <w:tc>
          <w:tcPr>
            <w:tcW w:w="366" w:type="dxa"/>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421"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(8.5</w:t>
            </w:r>
          </w:p>
        </w:tc>
        <w:tc>
          <w:tcPr>
            <w:tcW w:w="454" w:type="dxa"/>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Advertising</w:t>
            </w:r>
          </w:p>
        </w:tc>
        <w:tc>
          <w:tcPr>
            <w:tcW w:w="796"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918</w:t>
            </w:r>
          </w:p>
        </w:tc>
        <w:tc>
          <w:tcPr>
            <w:tcW w:w="774"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893</w:t>
            </w:r>
          </w:p>
        </w:tc>
        <w:tc>
          <w:tcPr>
            <w:tcW w:w="421"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2.9</w:t>
            </w:r>
          </w:p>
        </w:tc>
        <w:tc>
          <w:tcPr>
            <w:tcW w:w="366" w:type="dxa"/>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421"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3.1</w:t>
            </w:r>
          </w:p>
        </w:tc>
        <w:tc>
          <w:tcPr>
            <w:tcW w:w="454" w:type="dxa"/>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 xml:space="preserve">Other </w:t>
            </w:r>
          </w:p>
        </w:tc>
        <w:tc>
          <w:tcPr>
            <w:tcW w:w="796"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1,109</w:t>
            </w:r>
          </w:p>
        </w:tc>
        <w:tc>
          <w:tcPr>
            <w:tcW w:w="774"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1,197</w:t>
            </w:r>
          </w:p>
        </w:tc>
        <w:tc>
          <w:tcPr>
            <w:tcW w:w="421"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(7.3</w:t>
            </w:r>
          </w:p>
        </w:tc>
        <w:tc>
          <w:tcPr>
            <w:tcW w:w="366" w:type="dxa"/>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421"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(7.2</w:t>
            </w:r>
          </w:p>
        </w:tc>
        <w:tc>
          <w:tcPr>
            <w:tcW w:w="454" w:type="dxa"/>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Total Revenue</w:t>
            </w:r>
          </w:p>
        </w:tc>
        <w:tc>
          <w:tcPr>
            <w:tcW w:w="796" w:type="dxa"/>
            <w:gridSpan w:val="3"/>
            <w:tcBorders>
              <w:top w:val="single" w:sz="4" w:space="0" w:color="000000"/>
            </w:tcBorders>
            <w:shd w:fill="D9D9D6"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6"/>
              </w:rPr>
            </w:pPr>
            <w:r>
              <w:rPr>
                <w:rFonts w:ascii="Helvetica;sans-serif" w:hAnsi="Helvetica;sans-serif"/>
                <w:b/>
                <w:color w:val="000000"/>
                <w:sz w:val="16"/>
              </w:rPr>
              <w:t>$17,018</w:t>
            </w:r>
          </w:p>
        </w:tc>
        <w:tc>
          <w:tcPr>
            <w:tcW w:w="774" w:type="dxa"/>
            <w:gridSpan w:val="3"/>
            <w:tcBorders>
              <w:top w:val="single" w:sz="4" w:space="0" w:color="000000"/>
            </w:tcBorders>
            <w:shd w:fill="D9D9D6"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6"/>
              </w:rPr>
            </w:pPr>
            <w:r>
              <w:rPr>
                <w:rFonts w:ascii="Helvetica;sans-serif" w:hAnsi="Helvetica;sans-serif"/>
                <w:b/>
                <w:color w:val="000000"/>
                <w:sz w:val="16"/>
              </w:rPr>
              <w:t>$17,636</w:t>
            </w:r>
          </w:p>
        </w:tc>
        <w:tc>
          <w:tcPr>
            <w:tcW w:w="421" w:type="dxa"/>
            <w:gridSpan w:val="2"/>
            <w:tcBorders>
              <w:top w:val="single" w:sz="4" w:space="0" w:color="000000"/>
            </w:tcBorders>
            <w:shd w:fill="D9D9D6"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6"/>
              </w:rPr>
            </w:pPr>
            <w:r>
              <w:rPr>
                <w:rFonts w:ascii="Helvetica;sans-serif" w:hAnsi="Helvetica;sans-serif"/>
                <w:b/>
                <w:color w:val="000000"/>
                <w:sz w:val="16"/>
              </w:rPr>
              <w:t>(3.5</w:t>
            </w:r>
          </w:p>
        </w:tc>
        <w:tc>
          <w:tcPr>
            <w:tcW w:w="366" w:type="dxa"/>
            <w:tcBorders>
              <w:top w:val="single" w:sz="4" w:space="0" w:color="000000"/>
            </w:tcBorders>
            <w:shd w:fill="D9D9D6"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w:t>
            </w:r>
          </w:p>
        </w:tc>
        <w:tc>
          <w:tcPr>
            <w:tcW w:w="421" w:type="dxa"/>
            <w:gridSpan w:val="2"/>
            <w:tcBorders>
              <w:top w:val="single" w:sz="4" w:space="0" w:color="000000"/>
            </w:tcBorders>
            <w:shd w:fill="D9D9D6"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6"/>
              </w:rPr>
            </w:pPr>
            <w:r>
              <w:rPr>
                <w:rFonts w:ascii="Helvetica;sans-serif" w:hAnsi="Helvetica;sans-serif"/>
                <w:b/>
                <w:color w:val="000000"/>
                <w:sz w:val="16"/>
              </w:rPr>
              <w:t>(3.4</w:t>
            </w:r>
          </w:p>
        </w:tc>
        <w:tc>
          <w:tcPr>
            <w:tcW w:w="454" w:type="dxa"/>
            <w:tcBorders>
              <w:top w:val="single" w:sz="4" w:space="0" w:color="000000"/>
            </w:tcBorders>
            <w:shd w:fill="D9D9D6"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w:t>
            </w:r>
          </w:p>
        </w:tc>
        <w:tc>
          <w:tcPr>
            <w:tcW w:w="32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Operating Expenses</w:t>
            </w:r>
          </w:p>
        </w:tc>
        <w:tc>
          <w:tcPr>
            <w:tcW w:w="796"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Programming</w:t>
            </w:r>
          </w:p>
        </w:tc>
        <w:tc>
          <w:tcPr>
            <w:tcW w:w="796"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$3,624</w:t>
            </w:r>
          </w:p>
        </w:tc>
        <w:tc>
          <w:tcPr>
            <w:tcW w:w="774"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$3,952</w:t>
            </w:r>
          </w:p>
        </w:tc>
        <w:tc>
          <w:tcPr>
            <w:tcW w:w="421"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(8.3</w:t>
            </w:r>
          </w:p>
        </w:tc>
        <w:tc>
          <w:tcPr>
            <w:tcW w:w="366" w:type="dxa"/>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421"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(8.1</w:t>
            </w:r>
          </w:p>
        </w:tc>
        <w:tc>
          <w:tcPr>
            <w:tcW w:w="454" w:type="dxa"/>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Non-Programming</w:t>
            </w:r>
          </w:p>
        </w:tc>
        <w:tc>
          <w:tcPr>
            <w:tcW w:w="796"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7,284</w:t>
            </w:r>
          </w:p>
        </w:tc>
        <w:tc>
          <w:tcPr>
            <w:tcW w:w="774"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7,200</w:t>
            </w:r>
          </w:p>
        </w:tc>
        <w:tc>
          <w:tcPr>
            <w:tcW w:w="421"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1.2</w:t>
            </w:r>
          </w:p>
        </w:tc>
        <w:tc>
          <w:tcPr>
            <w:tcW w:w="366" w:type="dxa"/>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421"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1.4</w:t>
            </w:r>
          </w:p>
        </w:tc>
        <w:tc>
          <w:tcPr>
            <w:tcW w:w="454" w:type="dxa"/>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Total Operating Expenses</w:t>
            </w:r>
          </w:p>
        </w:tc>
        <w:tc>
          <w:tcPr>
            <w:tcW w:w="796" w:type="dxa"/>
            <w:gridSpan w:val="3"/>
            <w:tcBorders>
              <w:top w:val="single" w:sz="4" w:space="0" w:color="000000"/>
            </w:tcBorders>
            <w:shd w:fill="D9D9D6"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6"/>
              </w:rPr>
            </w:pPr>
            <w:r>
              <w:rPr>
                <w:rFonts w:ascii="Helvetica;sans-serif" w:hAnsi="Helvetica;sans-serif"/>
                <w:b/>
                <w:color w:val="000000"/>
                <w:sz w:val="16"/>
              </w:rPr>
              <w:t>$10,908</w:t>
            </w:r>
          </w:p>
        </w:tc>
        <w:tc>
          <w:tcPr>
            <w:tcW w:w="774" w:type="dxa"/>
            <w:gridSpan w:val="3"/>
            <w:tcBorders>
              <w:top w:val="single" w:sz="4" w:space="0" w:color="000000"/>
            </w:tcBorders>
            <w:shd w:fill="D9D9D6"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6"/>
              </w:rPr>
            </w:pPr>
            <w:r>
              <w:rPr>
                <w:rFonts w:ascii="Helvetica;sans-serif" w:hAnsi="Helvetica;sans-serif"/>
                <w:b/>
                <w:color w:val="000000"/>
                <w:sz w:val="16"/>
              </w:rPr>
              <w:t>$11,152</w:t>
            </w:r>
          </w:p>
        </w:tc>
        <w:tc>
          <w:tcPr>
            <w:tcW w:w="421" w:type="dxa"/>
            <w:gridSpan w:val="2"/>
            <w:tcBorders>
              <w:top w:val="single" w:sz="4" w:space="0" w:color="000000"/>
            </w:tcBorders>
            <w:shd w:fill="D9D9D6"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6"/>
              </w:rPr>
            </w:pPr>
            <w:r>
              <w:rPr>
                <w:rFonts w:ascii="Helvetica;sans-serif" w:hAnsi="Helvetica;sans-serif"/>
                <w:b/>
                <w:color w:val="000000"/>
                <w:sz w:val="16"/>
              </w:rPr>
              <w:t>(2.2</w:t>
            </w:r>
          </w:p>
        </w:tc>
        <w:tc>
          <w:tcPr>
            <w:tcW w:w="366" w:type="dxa"/>
            <w:tcBorders>
              <w:top w:val="single" w:sz="4" w:space="0" w:color="000000"/>
            </w:tcBorders>
            <w:shd w:fill="D9D9D6"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w:t>
            </w:r>
          </w:p>
        </w:tc>
        <w:tc>
          <w:tcPr>
            <w:tcW w:w="421" w:type="dxa"/>
            <w:gridSpan w:val="2"/>
            <w:tcBorders>
              <w:top w:val="single" w:sz="4" w:space="0" w:color="000000"/>
            </w:tcBorders>
            <w:shd w:fill="D9D9D6"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6"/>
              </w:rPr>
            </w:pPr>
            <w:r>
              <w:rPr>
                <w:rFonts w:ascii="Helvetica;sans-serif" w:hAnsi="Helvetica;sans-serif"/>
                <w:b/>
                <w:color w:val="000000"/>
                <w:sz w:val="16"/>
              </w:rPr>
              <w:t>(2.0</w:t>
            </w:r>
          </w:p>
        </w:tc>
        <w:tc>
          <w:tcPr>
            <w:tcW w:w="454" w:type="dxa"/>
            <w:tcBorders>
              <w:top w:val="single" w:sz="4" w:space="0" w:color="000000"/>
            </w:tcBorders>
            <w:shd w:fill="D9D9D6"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w:t>
            </w:r>
          </w:p>
        </w:tc>
        <w:tc>
          <w:tcPr>
            <w:tcW w:w="32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Adjusted EBITDA</w:t>
            </w:r>
          </w:p>
        </w:tc>
        <w:tc>
          <w:tcPr>
            <w:tcW w:w="796"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6"/>
              </w:rPr>
            </w:pPr>
            <w:r>
              <w:rPr>
                <w:rFonts w:ascii="Helvetica;sans-serif" w:hAnsi="Helvetica;sans-serif"/>
                <w:b/>
                <w:color w:val="000000"/>
                <w:sz w:val="16"/>
              </w:rPr>
              <w:t>$6,110</w:t>
            </w:r>
          </w:p>
        </w:tc>
        <w:tc>
          <w:tcPr>
            <w:tcW w:w="774"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6"/>
              </w:rPr>
            </w:pPr>
            <w:r>
              <w:rPr>
                <w:rFonts w:ascii="Helvetica;sans-serif" w:hAnsi="Helvetica;sans-serif"/>
                <w:b/>
                <w:color w:val="000000"/>
                <w:sz w:val="16"/>
              </w:rPr>
              <w:t>$6,484</w:t>
            </w:r>
          </w:p>
        </w:tc>
        <w:tc>
          <w:tcPr>
            <w:tcW w:w="421"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6"/>
              </w:rPr>
            </w:pPr>
            <w:r>
              <w:rPr>
                <w:rFonts w:ascii="Helvetica;sans-serif" w:hAnsi="Helvetica;sans-serif"/>
                <w:b/>
                <w:color w:val="000000"/>
                <w:sz w:val="16"/>
              </w:rPr>
              <w:t>(5.8</w:t>
            </w:r>
          </w:p>
        </w:tc>
        <w:tc>
          <w:tcPr>
            <w:tcW w:w="366" w:type="dxa"/>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w:t>
            </w:r>
          </w:p>
        </w:tc>
        <w:tc>
          <w:tcPr>
            <w:tcW w:w="421"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6"/>
              </w:rPr>
            </w:pPr>
            <w:r>
              <w:rPr>
                <w:rFonts w:ascii="Helvetica;sans-serif" w:hAnsi="Helvetica;sans-serif"/>
                <w:b/>
                <w:color w:val="000000"/>
                <w:sz w:val="16"/>
              </w:rPr>
              <w:t>(5.8</w:t>
            </w:r>
          </w:p>
        </w:tc>
        <w:tc>
          <w:tcPr>
            <w:tcW w:w="454" w:type="dxa"/>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w:t>
            </w:r>
          </w:p>
        </w:tc>
        <w:tc>
          <w:tcPr>
            <w:tcW w:w="32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16"/>
              </w:rPr>
            </w:pPr>
            <w:r>
              <w:rPr>
                <w:rFonts w:ascii="Helvetica;sans-serif" w:hAnsi="Helvetica;sans-serif"/>
                <w:b w:val="false"/>
                <w:i/>
                <w:color w:val="000000"/>
                <w:sz w:val="16"/>
              </w:rPr>
              <w:t>Adjusted EBITDA Margin</w:t>
            </w:r>
          </w:p>
        </w:tc>
        <w:tc>
          <w:tcPr>
            <w:tcW w:w="421"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35.9</w:t>
            </w:r>
          </w:p>
        </w:tc>
        <w:tc>
          <w:tcPr>
            <w:tcW w:w="375" w:type="dxa"/>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421"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36.8</w:t>
            </w:r>
          </w:p>
        </w:tc>
        <w:tc>
          <w:tcPr>
            <w:tcW w:w="353" w:type="dxa"/>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787"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(90) bps</w:t>
            </w:r>
          </w:p>
        </w:tc>
        <w:tc>
          <w:tcPr>
            <w:tcW w:w="875"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(90) bps</w:t>
            </w:r>
          </w:p>
        </w:tc>
        <w:tc>
          <w:tcPr>
            <w:tcW w:w="32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2535"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56" w:before="0" w:after="40"/>
        <w:jc w:val="both"/>
        <w:rPr>
          <w:rFonts w:ascii="Helvetica;sans-serif" w:hAnsi="Helvetica;sans-serif"/>
          <w:b w:val="false"/>
          <w:color w:val="000000"/>
          <w:sz w:val="16"/>
        </w:rPr>
      </w:pPr>
      <w:r>
        <w:rPr>
          <w:rFonts w:ascii="Helvetica;sans-serif" w:hAnsi="Helvetica;sans-serif"/>
          <w:b w:val="false"/>
          <w:color w:val="000000"/>
          <w:sz w:val="16"/>
        </w:rPr>
        <w:t>Change percentages represent year/year growth rates. The changes in Adjusted EBITDA margins are presented as year/year basis point changes in the rounded Adjusted EBITDA margins.</w:t>
      </w:r>
    </w:p>
    <w:p>
      <w:pPr>
        <w:pStyle w:val="TextBody"/>
        <w:bidi w:val="0"/>
        <w:spacing w:before="0" w:after="40"/>
        <w:jc w:val="both"/>
        <w:rPr/>
      </w:pPr>
      <w:r>
        <w:rPr/>
      </w:r>
    </w:p>
    <w:p>
      <w:pPr>
        <w:pStyle w:val="TextBody"/>
        <w:bidi w:val="0"/>
        <w:spacing w:lineRule="auto" w:line="268" w:before="0" w:after="0"/>
        <w:jc w:val="both"/>
        <w:rPr/>
      </w:pPr>
      <w:r>
        <w:rPr>
          <w:rFonts w:ascii="Helvetica;sans-serif" w:hAnsi="Helvetica;sans-serif"/>
          <w:b/>
          <w:i/>
          <w:color w:val="000000"/>
          <w:sz w:val="20"/>
        </w:rPr>
        <w:t>Revenue</w:t>
      </w:r>
      <w:r>
        <w:rPr>
          <w:color w:val="000000"/>
        </w:rPr>
        <w:t xml:space="preserve"> </w:t>
      </w:r>
      <w:r>
        <w:rPr>
          <w:rFonts w:ascii="Helvetica;sans-serif" w:hAnsi="Helvetica;sans-serif"/>
          <w:b w:val="false"/>
          <w:color w:val="000000"/>
          <w:sz w:val="20"/>
        </w:rPr>
        <w:t>for Residential Connectivity &amp; Platforms decreased compared to the prior year period, primarily reflecting lower video and domestic broadband revenue, partially offset by higher domestic wireless equipment, domestic wireless service, international connectivity and advertising revenue. Domestic broadband revenue decreased due to lower average rates and a decline in the number of domestic broadband customers. Domestic wireless service revenue increased, reflecting growth in the customer base and the conversion of promotional free lines to paid service. Domestic wireless equipment revenue increased, driven by higher device sales. International connectivity revenue increased due to higher wireless revenue, primarily reflecting higher equipment revenue. Video revenue decreased primarily due to a decline in the number of video customers. Advertising revenue increased primarily due to higher domestic political advertising and higher revenue from our advanced advertising business, partially offset by lower international advertising and lower domestic nonpolitical advertising. Other revenue decreased primarily due to lower residential wireline voice revenue, driven by a decline in the number of customers.</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16840"/>
                <wp:effectExtent l="0" t="0" r="0" b="0"/>
                <wp:wrapNone/>
                <wp:docPr id="7" name="Frame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16"/>
                              </w:rPr>
                            </w:pPr>
                            <w:r>
                              <w:rPr>
                                <w:rFonts w:ascii="Helvetica;sans-serif" w:hAnsi="Helvetica;sans-serif"/>
                                <w:b w:val="false"/>
                                <w:color w:val="000000"/>
                                <w:sz w:val="16"/>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16"/>
                        </w:rPr>
                      </w:pPr>
                      <w:r>
                        <w:rPr>
                          <w:rFonts w:ascii="Helvetica;sans-serif" w:hAnsi="Helvetica;sans-serif"/>
                          <w:b w:val="false"/>
                          <w:color w:val="000000"/>
                          <w:sz w:val="16"/>
                        </w:rPr>
                        <w:t>3</w:t>
                      </w:r>
                    </w:p>
                  </w:txbxContent>
                </v:textbox>
                <w10:wrap type="none"/>
              </v:rect>
            </w:pict>
          </mc:Fallback>
        </mc:AlternateContent>
      </w:r>
    </w:p>
    <w:p>
      <w:pPr>
        <w:pStyle w:val="TextBody"/>
        <w:bidi w:val="0"/>
        <w:spacing w:lineRule="auto" w:line="268" w:before="0" w:after="0"/>
        <w:jc w:val="both"/>
        <w:rPr/>
      </w:pPr>
      <w:r>
        <w:rPr>
          <w:rFonts w:ascii="Helvetica;sans-serif" w:hAnsi="Helvetica;sans-serif"/>
          <w:b/>
          <w:i/>
          <w:color w:val="000000"/>
          <w:sz w:val="20"/>
        </w:rPr>
        <w:t>Adjusted EBITDA</w:t>
      </w:r>
      <w:r>
        <w:rPr>
          <w:color w:val="000000"/>
        </w:rPr>
        <w:t xml:space="preserve"> </w:t>
      </w:r>
      <w:r>
        <w:rPr>
          <w:rFonts w:ascii="Helvetica;sans-serif" w:hAnsi="Helvetica;sans-serif"/>
          <w:b w:val="false"/>
          <w:color w:val="000000"/>
          <w:sz w:val="20"/>
        </w:rPr>
        <w:t xml:space="preserve">for Residential Connectivity &amp; Platforms decreased due to lower revenue, partially offset by lower operating expenses. Programming expenses decreased primarily due to a decline in the number of domestic video customers. Non-programming expenses increased primarily reflecting an increase in direct product costs, mainly due to growth in our domestic wireless business, partially offset by lower technical and support costs. </w:t>
      </w:r>
      <w:r>
        <w:rPr>
          <w:rFonts w:ascii="Helvetica;sans-serif" w:hAnsi="Helvetica;sans-serif"/>
          <w:b/>
          <w:i/>
          <w:color w:val="000000"/>
          <w:sz w:val="20"/>
        </w:rPr>
        <w:t>Adjusted EBITDA margin</w:t>
      </w:r>
      <w:r>
        <w:rPr>
          <w:color w:val="000000"/>
        </w:rPr>
        <w:t xml:space="preserve"> </w:t>
      </w:r>
      <w:r>
        <w:rPr>
          <w:rFonts w:ascii="Helvetica;sans-serif" w:hAnsi="Helvetica;sans-serif"/>
          <w:b w:val="false"/>
          <w:color w:val="000000"/>
          <w:sz w:val="20"/>
        </w:rPr>
        <w:t>was 35.9%.</w:t>
      </w:r>
    </w:p>
    <w:p>
      <w:pPr>
        <w:pStyle w:val="TextBody"/>
        <w:bidi w:val="0"/>
        <w:spacing w:before="0" w:after="0"/>
        <w:jc w:val="both"/>
        <w:rPr/>
      </w:pPr>
      <w:r>
        <w:rPr/>
      </w:r>
    </w:p>
    <w:p>
      <w:pPr>
        <w:pStyle w:val="TextBody"/>
        <w:bidi w:val="0"/>
        <w:spacing w:lineRule="auto" w:line="256" w:before="0" w:after="0"/>
        <w:jc w:val="both"/>
        <w:rPr>
          <w:rFonts w:ascii="Helvetica;sans-serif" w:hAnsi="Helvetica;sans-serif"/>
          <w:b/>
          <w:color w:val="000000"/>
          <w:sz w:val="20"/>
        </w:rPr>
      </w:pPr>
      <w:r>
        <w:rPr>
          <w:rFonts w:ascii="Helvetica;sans-serif" w:hAnsi="Helvetica;sans-serif"/>
          <w:b/>
          <w:color w:val="000000"/>
          <w:sz w:val="20"/>
        </w:rPr>
        <w:t>Business Services Connectivity</w:t>
      </w:r>
    </w:p>
    <w:p>
      <w:pPr>
        <w:pStyle w:val="TextBody"/>
        <w:bidi w:val="0"/>
        <w:spacing w:before="0" w:after="0"/>
        <w:jc w:val="both"/>
        <w:rPr/>
      </w:pPr>
      <w:r>
        <w:rPr/>
      </w:r>
    </w:p>
    <w:tbl>
      <w:tblPr>
        <w:tblW w:w="6323" w:type="dxa"/>
        <w:jc w:val="left"/>
        <w:tblInd w:w="0" w:type="dxa"/>
        <w:tblLayout w:type="fixed"/>
        <w:tblCellMar>
          <w:top w:w="28" w:type="dxa"/>
          <w:left w:w="28" w:type="dxa"/>
          <w:bottom w:w="28" w:type="dxa"/>
          <w:right w:w="28" w:type="dxa"/>
        </w:tblCellMar>
      </w:tblPr>
      <w:tblGrid>
        <w:gridCol w:w="124"/>
        <w:gridCol w:w="109"/>
        <w:gridCol w:w="109"/>
        <w:gridCol w:w="643"/>
        <w:gridCol w:w="643"/>
        <w:gridCol w:w="618"/>
        <w:gridCol w:w="210"/>
        <w:gridCol w:w="211"/>
        <w:gridCol w:w="325"/>
        <w:gridCol w:w="210"/>
        <w:gridCol w:w="211"/>
        <w:gridCol w:w="325"/>
        <w:gridCol w:w="170"/>
        <w:gridCol w:w="171"/>
        <w:gridCol w:w="378"/>
        <w:gridCol w:w="193"/>
        <w:gridCol w:w="193"/>
        <w:gridCol w:w="454"/>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12"/>
              </w:rPr>
            </w:pPr>
            <w:r>
              <w:rPr>
                <w:rFonts w:ascii="Helvetica;sans-serif" w:hAnsi="Helvetica;sans-serif"/>
                <w:b w:val="false"/>
                <w:i/>
                <w:color w:val="000000"/>
                <w:sz w:val="12"/>
              </w:rPr>
              <w:t>($ in millions)</w:t>
            </w:r>
          </w:p>
        </w:tc>
        <w:tc>
          <w:tcPr>
            <w:tcW w:w="746"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vMerge w:val="restart"/>
            <w:tcBorders/>
            <w:shd w:fill="D9D9D6" w:val="clear"/>
            <w:tcMar>
              <w:top w:w="0" w:type="dxa"/>
              <w:left w:w="0" w:type="dxa"/>
              <w:bottom w:w="0" w:type="dxa"/>
              <w:right w:w="0" w:type="dxa"/>
            </w:tcMar>
            <w:vAlign w:val="center"/>
          </w:tcPr>
          <w:p>
            <w:pPr>
              <w:pStyle w:val="TableContents"/>
              <w:bidi w:val="0"/>
              <w:spacing w:lineRule="auto" w:line="240" w:before="0" w:after="0"/>
              <w:jc w:val="right"/>
              <w:rPr/>
            </w:pPr>
            <w:r>
              <w:rPr>
                <w:rFonts w:ascii="Helvetica;sans-serif" w:hAnsi="Helvetica;sans-serif"/>
                <w:b w:val="false"/>
                <w:color w:val="000000"/>
                <w:sz w:val="16"/>
              </w:rPr>
              <w:t xml:space="preserve">Constant </w:t>
              <w:br/>
              <w:t xml:space="preserve">Currency </w:t>
              <w:br/>
            </w:r>
            <w:r>
              <w:rPr>
                <w:rFonts w:ascii="Helvetica;sans-serif" w:hAnsi="Helvetica;sans-serif"/>
                <w:b w:val="false"/>
                <w:color w:val="000000"/>
                <w:sz w:val="16"/>
                <w:u w:val="single"/>
              </w:rPr>
              <w:t>Change</w:t>
            </w:r>
            <w:r>
              <w:rPr>
                <w:rFonts w:ascii="Helvetica;sans-serif" w:hAnsi="Helvetica;sans-serif"/>
                <w:b w:val="false"/>
                <w:color w:val="000000"/>
                <w:sz w:val="10"/>
              </w:rPr>
              <w:t>7</w:t>
            </w:r>
          </w:p>
        </w:tc>
        <w:tc>
          <w:tcPr>
            <w:tcW w:w="32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1" w:type="dxa"/>
            <w:gridSpan w:val="9"/>
            <w:tcBorders/>
            <w:shd w:fill="D9D9D6"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6"/>
                <w:u w:val="single"/>
              </w:rPr>
            </w:pPr>
            <w:r>
              <w:rPr>
                <w:rFonts w:ascii="Helvetica;sans-serif" w:hAnsi="Helvetica;sans-serif"/>
                <w:b w:val="false"/>
                <w:color w:val="000000"/>
                <w:sz w:val="16"/>
                <w:u w:val="single"/>
              </w:rPr>
              <w:t>3rd Quarter</w:t>
            </w:r>
          </w:p>
        </w:tc>
        <w:tc>
          <w:tcPr>
            <w:tcW w:w="840" w:type="dxa"/>
            <w:gridSpan w:val="3"/>
            <w:vMerge w:val="continue"/>
            <w:tcBorders/>
            <w:shd w:fill="D9D9D6" w:val="clear"/>
            <w:tcMar>
              <w:top w:w="0" w:type="dxa"/>
              <w:left w:w="0" w:type="dxa"/>
              <w:bottom w:w="0" w:type="dxa"/>
              <w:right w:w="0" w:type="dxa"/>
            </w:tcMar>
            <w:vAlign w:val="center"/>
          </w:tcPr>
          <w:p>
            <w:pPr>
              <w:pStyle w:val="Normal"/>
              <w:bidi w:val="0"/>
              <w:jc w:val="left"/>
              <w:rPr/>
            </w:pPr>
            <w:r>
              <w:rPr/>
            </w:r>
          </w:p>
        </w:tc>
        <w:tc>
          <w:tcPr>
            <w:tcW w:w="32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u w:val="single"/>
              </w:rPr>
            </w:pPr>
            <w:r>
              <w:rPr>
                <w:rFonts w:ascii="Helvetica;sans-serif" w:hAnsi="Helvetica;sans-serif"/>
                <w:b w:val="false"/>
                <w:color w:val="000000"/>
                <w:sz w:val="16"/>
                <w:u w:val="single"/>
              </w:rPr>
              <w:t>2026</w:t>
            </w:r>
          </w:p>
        </w:tc>
        <w:tc>
          <w:tcPr>
            <w:tcW w:w="746"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u w:val="single"/>
              </w:rPr>
            </w:pPr>
            <w:r>
              <w:rPr>
                <w:rFonts w:ascii="Helvetica;sans-serif" w:hAnsi="Helvetica;sans-serif"/>
                <w:b w:val="false"/>
                <w:color w:val="000000"/>
                <w:sz w:val="16"/>
                <w:u w:val="single"/>
              </w:rPr>
              <w:t>2025</w:t>
            </w:r>
          </w:p>
        </w:tc>
        <w:tc>
          <w:tcPr>
            <w:tcW w:w="719"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u w:val="single"/>
              </w:rPr>
            </w:pPr>
            <w:r>
              <w:rPr>
                <w:rFonts w:ascii="Helvetica;sans-serif" w:hAnsi="Helvetica;sans-serif"/>
                <w:b w:val="false"/>
                <w:color w:val="000000"/>
                <w:sz w:val="16"/>
                <w:u w:val="single"/>
              </w:rPr>
              <w:t>Change</w:t>
            </w:r>
          </w:p>
        </w:tc>
        <w:tc>
          <w:tcPr>
            <w:tcW w:w="840" w:type="dxa"/>
            <w:gridSpan w:val="3"/>
            <w:vMerge w:val="continue"/>
            <w:tcBorders/>
            <w:shd w:fill="D9D9D6" w:val="clear"/>
            <w:tcMar>
              <w:top w:w="0" w:type="dxa"/>
              <w:left w:w="0" w:type="dxa"/>
              <w:bottom w:w="0" w:type="dxa"/>
              <w:right w:w="0" w:type="dxa"/>
            </w:tcMar>
            <w:vAlign w:val="center"/>
          </w:tcPr>
          <w:p>
            <w:pPr>
              <w:pStyle w:val="Normal"/>
              <w:bidi w:val="0"/>
              <w:jc w:val="left"/>
              <w:rPr/>
            </w:pPr>
            <w:r>
              <w:rPr/>
            </w:r>
          </w:p>
        </w:tc>
        <w:tc>
          <w:tcPr>
            <w:tcW w:w="32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c>
          <w:tcPr>
            <w:tcW w:w="746" w:type="dxa"/>
            <w:gridSpan w:val="3"/>
            <w:tcBorders/>
            <w:vAlign w:val="center"/>
          </w:tcPr>
          <w:p>
            <w:pPr>
              <w:pStyle w:val="TableContents"/>
              <w:bidi w:val="0"/>
              <w:spacing w:before="0" w:after="283"/>
              <w:jc w:val="left"/>
              <w:rPr>
                <w:sz w:val="4"/>
                <w:szCs w:val="4"/>
              </w:rPr>
            </w:pPr>
            <w:r>
              <w:rPr>
                <w:sz w:val="4"/>
                <w:szCs w:val="4"/>
              </w:rPr>
            </w:r>
          </w:p>
        </w:tc>
        <w:tc>
          <w:tcPr>
            <w:tcW w:w="746"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c>
          <w:tcPr>
            <w:tcW w:w="746" w:type="dxa"/>
            <w:gridSpan w:val="3"/>
            <w:tcBorders/>
            <w:vAlign w:val="center"/>
          </w:tcPr>
          <w:p>
            <w:pPr>
              <w:pStyle w:val="TableContents"/>
              <w:bidi w:val="0"/>
              <w:spacing w:before="0" w:after="283"/>
              <w:jc w:val="left"/>
              <w:rPr>
                <w:sz w:val="4"/>
                <w:szCs w:val="4"/>
              </w:rPr>
            </w:pPr>
            <w:r>
              <w:rPr>
                <w:sz w:val="4"/>
                <w:szCs w:val="4"/>
              </w:rPr>
            </w:r>
          </w:p>
        </w:tc>
        <w:tc>
          <w:tcPr>
            <w:tcW w:w="746"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c>
          <w:tcPr>
            <w:tcW w:w="746" w:type="dxa"/>
            <w:gridSpan w:val="3"/>
            <w:tcBorders/>
            <w:vAlign w:val="center"/>
          </w:tcPr>
          <w:p>
            <w:pPr>
              <w:pStyle w:val="TableContents"/>
              <w:bidi w:val="0"/>
              <w:spacing w:before="0" w:after="283"/>
              <w:jc w:val="left"/>
              <w:rPr>
                <w:sz w:val="4"/>
                <w:szCs w:val="4"/>
              </w:rPr>
            </w:pPr>
            <w:r>
              <w:rPr>
                <w:sz w:val="4"/>
                <w:szCs w:val="4"/>
              </w:rPr>
            </w:r>
          </w:p>
        </w:tc>
        <w:tc>
          <w:tcPr>
            <w:tcW w:w="746"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c>
          <w:tcPr>
            <w:tcW w:w="746" w:type="dxa"/>
            <w:gridSpan w:val="3"/>
            <w:tcBorders/>
            <w:vAlign w:val="center"/>
          </w:tcPr>
          <w:p>
            <w:pPr>
              <w:pStyle w:val="TableContents"/>
              <w:bidi w:val="0"/>
              <w:spacing w:before="0" w:after="283"/>
              <w:jc w:val="left"/>
              <w:rPr>
                <w:sz w:val="4"/>
                <w:szCs w:val="4"/>
              </w:rPr>
            </w:pPr>
            <w:r>
              <w:rPr>
                <w:sz w:val="4"/>
                <w:szCs w:val="4"/>
              </w:rPr>
            </w:r>
          </w:p>
        </w:tc>
        <w:tc>
          <w:tcPr>
            <w:tcW w:w="746"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c>
          <w:tcPr>
            <w:tcW w:w="746" w:type="dxa"/>
            <w:gridSpan w:val="3"/>
            <w:tcBorders/>
            <w:vAlign w:val="center"/>
          </w:tcPr>
          <w:p>
            <w:pPr>
              <w:pStyle w:val="TableContents"/>
              <w:bidi w:val="0"/>
              <w:spacing w:before="0" w:after="283"/>
              <w:jc w:val="left"/>
              <w:rPr>
                <w:sz w:val="4"/>
                <w:szCs w:val="4"/>
              </w:rPr>
            </w:pPr>
            <w:r>
              <w:rPr>
                <w:sz w:val="4"/>
                <w:szCs w:val="4"/>
              </w:rPr>
            </w:r>
          </w:p>
        </w:tc>
        <w:tc>
          <w:tcPr>
            <w:tcW w:w="746"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c>
          <w:tcPr>
            <w:tcW w:w="746" w:type="dxa"/>
            <w:gridSpan w:val="3"/>
            <w:tcBorders/>
            <w:vAlign w:val="center"/>
          </w:tcPr>
          <w:p>
            <w:pPr>
              <w:pStyle w:val="TableContents"/>
              <w:bidi w:val="0"/>
              <w:spacing w:before="0" w:after="283"/>
              <w:jc w:val="left"/>
              <w:rPr>
                <w:sz w:val="4"/>
                <w:szCs w:val="4"/>
              </w:rPr>
            </w:pPr>
            <w:r>
              <w:rPr>
                <w:sz w:val="4"/>
                <w:szCs w:val="4"/>
              </w:rPr>
            </w:r>
          </w:p>
        </w:tc>
        <w:tc>
          <w:tcPr>
            <w:tcW w:w="746"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c>
          <w:tcPr>
            <w:tcW w:w="746" w:type="dxa"/>
            <w:gridSpan w:val="3"/>
            <w:tcBorders/>
            <w:vAlign w:val="center"/>
          </w:tcPr>
          <w:p>
            <w:pPr>
              <w:pStyle w:val="TableContents"/>
              <w:bidi w:val="0"/>
              <w:spacing w:before="0" w:after="283"/>
              <w:jc w:val="left"/>
              <w:rPr>
                <w:sz w:val="4"/>
                <w:szCs w:val="4"/>
              </w:rPr>
            </w:pPr>
            <w:r>
              <w:rPr>
                <w:sz w:val="4"/>
                <w:szCs w:val="4"/>
              </w:rPr>
            </w:r>
          </w:p>
        </w:tc>
        <w:tc>
          <w:tcPr>
            <w:tcW w:w="746"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c>
          <w:tcPr>
            <w:tcW w:w="746" w:type="dxa"/>
            <w:gridSpan w:val="3"/>
            <w:tcBorders/>
            <w:vAlign w:val="center"/>
          </w:tcPr>
          <w:p>
            <w:pPr>
              <w:pStyle w:val="TableContents"/>
              <w:bidi w:val="0"/>
              <w:spacing w:before="0" w:after="283"/>
              <w:jc w:val="left"/>
              <w:rPr>
                <w:sz w:val="4"/>
                <w:szCs w:val="4"/>
              </w:rPr>
            </w:pPr>
            <w:r>
              <w:rPr>
                <w:sz w:val="4"/>
                <w:szCs w:val="4"/>
              </w:rPr>
            </w:r>
          </w:p>
        </w:tc>
        <w:tc>
          <w:tcPr>
            <w:tcW w:w="746"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Revenue</w:t>
            </w:r>
          </w:p>
        </w:tc>
        <w:tc>
          <w:tcPr>
            <w:tcW w:w="746"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$2,645</w:t>
            </w:r>
          </w:p>
        </w:tc>
        <w:tc>
          <w:tcPr>
            <w:tcW w:w="746"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$2,576</w:t>
            </w:r>
          </w:p>
        </w:tc>
        <w:tc>
          <w:tcPr>
            <w:tcW w:w="341"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2.7</w:t>
            </w:r>
          </w:p>
        </w:tc>
        <w:tc>
          <w:tcPr>
            <w:tcW w:w="378" w:type="dxa"/>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386"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2.7</w:t>
            </w:r>
          </w:p>
        </w:tc>
        <w:tc>
          <w:tcPr>
            <w:tcW w:w="454" w:type="dxa"/>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Operating Expenses</w:t>
            </w:r>
          </w:p>
        </w:tc>
        <w:tc>
          <w:tcPr>
            <w:tcW w:w="746"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1,167</w:t>
            </w:r>
          </w:p>
        </w:tc>
        <w:tc>
          <w:tcPr>
            <w:tcW w:w="746"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1,122</w:t>
            </w:r>
          </w:p>
        </w:tc>
        <w:tc>
          <w:tcPr>
            <w:tcW w:w="341"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4.0</w:t>
            </w:r>
          </w:p>
        </w:tc>
        <w:tc>
          <w:tcPr>
            <w:tcW w:w="378" w:type="dxa"/>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386"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4.0</w:t>
            </w:r>
          </w:p>
        </w:tc>
        <w:tc>
          <w:tcPr>
            <w:tcW w:w="454" w:type="dxa"/>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Adjusted EBITDA</w:t>
            </w:r>
          </w:p>
        </w:tc>
        <w:tc>
          <w:tcPr>
            <w:tcW w:w="746" w:type="dxa"/>
            <w:gridSpan w:val="3"/>
            <w:tcBorders>
              <w:top w:val="single" w:sz="4" w:space="0" w:color="000000"/>
            </w:tcBorders>
            <w:shd w:fill="D9D9D6"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6"/>
              </w:rPr>
            </w:pPr>
            <w:r>
              <w:rPr>
                <w:rFonts w:ascii="Helvetica;sans-serif" w:hAnsi="Helvetica;sans-serif"/>
                <w:b/>
                <w:color w:val="000000"/>
                <w:sz w:val="16"/>
              </w:rPr>
              <w:t>$1,478</w:t>
            </w:r>
          </w:p>
        </w:tc>
        <w:tc>
          <w:tcPr>
            <w:tcW w:w="746" w:type="dxa"/>
            <w:gridSpan w:val="3"/>
            <w:tcBorders>
              <w:top w:val="single" w:sz="4" w:space="0" w:color="000000"/>
            </w:tcBorders>
            <w:shd w:fill="D9D9D6"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6"/>
              </w:rPr>
            </w:pPr>
            <w:r>
              <w:rPr>
                <w:rFonts w:ascii="Helvetica;sans-serif" w:hAnsi="Helvetica;sans-serif"/>
                <w:b/>
                <w:color w:val="000000"/>
                <w:sz w:val="16"/>
              </w:rPr>
              <w:t>$1,454</w:t>
            </w:r>
          </w:p>
        </w:tc>
        <w:tc>
          <w:tcPr>
            <w:tcW w:w="341" w:type="dxa"/>
            <w:gridSpan w:val="2"/>
            <w:tcBorders>
              <w:top w:val="single" w:sz="4" w:space="0" w:color="000000"/>
            </w:tcBorders>
            <w:shd w:fill="D9D9D6"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6"/>
              </w:rPr>
            </w:pPr>
            <w:r>
              <w:rPr>
                <w:rFonts w:ascii="Helvetica;sans-serif" w:hAnsi="Helvetica;sans-serif"/>
                <w:b/>
                <w:color w:val="000000"/>
                <w:sz w:val="16"/>
              </w:rPr>
              <w:t>1.7</w:t>
            </w:r>
          </w:p>
        </w:tc>
        <w:tc>
          <w:tcPr>
            <w:tcW w:w="378" w:type="dxa"/>
            <w:tcBorders>
              <w:top w:val="single" w:sz="4" w:space="0" w:color="000000"/>
            </w:tcBorders>
            <w:shd w:fill="D9D9D6"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w:t>
            </w:r>
          </w:p>
        </w:tc>
        <w:tc>
          <w:tcPr>
            <w:tcW w:w="386" w:type="dxa"/>
            <w:gridSpan w:val="2"/>
            <w:tcBorders>
              <w:top w:val="single" w:sz="4" w:space="0" w:color="000000"/>
            </w:tcBorders>
            <w:shd w:fill="D9D9D6"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6"/>
              </w:rPr>
            </w:pPr>
            <w:r>
              <w:rPr>
                <w:rFonts w:ascii="Helvetica;sans-serif" w:hAnsi="Helvetica;sans-serif"/>
                <w:b/>
                <w:color w:val="000000"/>
                <w:sz w:val="16"/>
              </w:rPr>
              <w:t>1.7</w:t>
            </w:r>
          </w:p>
        </w:tc>
        <w:tc>
          <w:tcPr>
            <w:tcW w:w="454" w:type="dxa"/>
            <w:tcBorders>
              <w:top w:val="single" w:sz="4" w:space="0" w:color="000000"/>
            </w:tcBorders>
            <w:shd w:fill="D9D9D6"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w:t>
            </w:r>
          </w:p>
        </w:tc>
        <w:tc>
          <w:tcPr>
            <w:tcW w:w="32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16"/>
              </w:rPr>
            </w:pPr>
            <w:r>
              <w:rPr>
                <w:rFonts w:ascii="Helvetica;sans-serif" w:hAnsi="Helvetica;sans-serif"/>
                <w:b w:val="false"/>
                <w:i/>
                <w:color w:val="000000"/>
                <w:sz w:val="16"/>
              </w:rPr>
              <w:t>Adjusted EBITDA Margin</w:t>
            </w:r>
          </w:p>
        </w:tc>
        <w:tc>
          <w:tcPr>
            <w:tcW w:w="421"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55.9</w:t>
            </w:r>
          </w:p>
        </w:tc>
        <w:tc>
          <w:tcPr>
            <w:tcW w:w="325" w:type="dxa"/>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421"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56.4</w:t>
            </w:r>
          </w:p>
        </w:tc>
        <w:tc>
          <w:tcPr>
            <w:tcW w:w="325" w:type="dxa"/>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719"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(50) bps</w:t>
            </w:r>
          </w:p>
        </w:tc>
        <w:tc>
          <w:tcPr>
            <w:tcW w:w="840"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(50) bps</w:t>
            </w:r>
          </w:p>
        </w:tc>
        <w:tc>
          <w:tcPr>
            <w:tcW w:w="32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c>
          <w:tcPr>
            <w:tcW w:w="746" w:type="dxa"/>
            <w:gridSpan w:val="3"/>
            <w:tcBorders/>
            <w:vAlign w:val="center"/>
          </w:tcPr>
          <w:p>
            <w:pPr>
              <w:pStyle w:val="TableContents"/>
              <w:bidi w:val="0"/>
              <w:spacing w:before="0" w:after="283"/>
              <w:jc w:val="left"/>
              <w:rPr>
                <w:sz w:val="4"/>
                <w:szCs w:val="4"/>
              </w:rPr>
            </w:pPr>
            <w:r>
              <w:rPr>
                <w:sz w:val="4"/>
                <w:szCs w:val="4"/>
              </w:rPr>
            </w:r>
          </w:p>
        </w:tc>
        <w:tc>
          <w:tcPr>
            <w:tcW w:w="746"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56" w:before="0" w:after="40"/>
        <w:jc w:val="both"/>
        <w:rPr>
          <w:rFonts w:ascii="Helvetica;sans-serif" w:hAnsi="Helvetica;sans-serif"/>
          <w:b w:val="false"/>
          <w:color w:val="000000"/>
          <w:sz w:val="16"/>
        </w:rPr>
      </w:pPr>
      <w:r>
        <w:rPr>
          <w:rFonts w:ascii="Helvetica;sans-serif" w:hAnsi="Helvetica;sans-serif"/>
          <w:b w:val="false"/>
          <w:color w:val="000000"/>
          <w:sz w:val="16"/>
        </w:rPr>
        <w:t>Change percentages represent year/year growth rates. The changes in Adjusted EBITDA margins are presented as year/year basis point changes in the rounded Adjusted EBITDA margins.</w:t>
      </w:r>
    </w:p>
    <w:p>
      <w:pPr>
        <w:pStyle w:val="TextBody"/>
        <w:bidi w:val="0"/>
        <w:spacing w:before="0" w:after="40"/>
        <w:jc w:val="both"/>
        <w:rPr/>
      </w:pPr>
      <w:r>
        <w:rPr/>
      </w:r>
    </w:p>
    <w:p>
      <w:pPr>
        <w:pStyle w:val="TextBody"/>
        <w:bidi w:val="0"/>
        <w:spacing w:lineRule="auto" w:line="256" w:before="0" w:after="0"/>
        <w:jc w:val="both"/>
        <w:rPr/>
      </w:pPr>
      <w:r>
        <w:rPr>
          <w:rFonts w:ascii="Helvetica;sans-serif" w:hAnsi="Helvetica;sans-serif"/>
          <w:b/>
          <w:i/>
          <w:color w:val="000000"/>
          <w:sz w:val="20"/>
        </w:rPr>
        <w:t>Revenue</w:t>
      </w:r>
      <w:r>
        <w:rPr>
          <w:color w:val="000000"/>
        </w:rPr>
        <w:t xml:space="preserve"> </w:t>
      </w:r>
      <w:r>
        <w:rPr>
          <w:rFonts w:ascii="Helvetica;sans-serif" w:hAnsi="Helvetica;sans-serif"/>
          <w:b w:val="false"/>
          <w:color w:val="000000"/>
          <w:sz w:val="20"/>
        </w:rPr>
        <w:t>for Business Services Connectivity increased primarily due to an increase in revenue from enterprise solutions offerings.</w:t>
      </w:r>
    </w:p>
    <w:p>
      <w:pPr>
        <w:pStyle w:val="TextBody"/>
        <w:bidi w:val="0"/>
        <w:spacing w:before="0" w:after="0"/>
        <w:jc w:val="both"/>
        <w:rPr/>
      </w:pPr>
      <w:r>
        <w:rPr/>
      </w:r>
    </w:p>
    <w:p>
      <w:pPr>
        <w:pStyle w:val="TextBody"/>
        <w:bidi w:val="0"/>
        <w:spacing w:lineRule="auto" w:line="256" w:before="0" w:after="0"/>
        <w:jc w:val="both"/>
        <w:rPr/>
      </w:pPr>
      <w:r>
        <w:rPr>
          <w:rFonts w:ascii="Helvetica;sans-serif" w:hAnsi="Helvetica;sans-serif"/>
          <w:b/>
          <w:i/>
          <w:color w:val="000000"/>
          <w:sz w:val="20"/>
        </w:rPr>
        <w:t>Adjusted EBITDA</w:t>
      </w:r>
      <w:r>
        <w:rPr>
          <w:color w:val="000000"/>
        </w:rPr>
        <w:t xml:space="preserve"> </w:t>
      </w:r>
      <w:r>
        <w:rPr>
          <w:rFonts w:ascii="Helvetica;sans-serif" w:hAnsi="Helvetica;sans-serif"/>
          <w:b w:val="false"/>
          <w:color w:val="000000"/>
          <w:sz w:val="20"/>
        </w:rPr>
        <w:t xml:space="preserve">for Business Services Connectivity increased due to higher revenue, partially offset by higher operating expenses. The increase in operating expenses was primarily due to increases in direct product costs and marketing and promotion expenses. </w:t>
      </w:r>
      <w:r>
        <w:rPr>
          <w:rFonts w:ascii="Helvetica;sans-serif" w:hAnsi="Helvetica;sans-serif"/>
          <w:b/>
          <w:i/>
          <w:color w:val="000000"/>
          <w:sz w:val="20"/>
        </w:rPr>
        <w:t>Adjusted EBITDA margin</w:t>
      </w:r>
      <w:r>
        <w:rPr>
          <w:color w:val="000000"/>
        </w:rPr>
        <w:t xml:space="preserve"> </w:t>
      </w:r>
      <w:r>
        <w:rPr>
          <w:rFonts w:ascii="Helvetica;sans-serif" w:hAnsi="Helvetica;sans-serif"/>
          <w:b w:val="false"/>
          <w:color w:val="000000"/>
          <w:sz w:val="20"/>
        </w:rPr>
        <w:t>was 55.9%.</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16840"/>
                <wp:effectExtent l="0" t="0" r="0" b="0"/>
                <wp:wrapNone/>
                <wp:docPr id="8" name="Frame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16"/>
                              </w:rPr>
                            </w:pPr>
                            <w:r>
                              <w:rPr>
                                <w:rFonts w:ascii="Helvetica;sans-serif" w:hAnsi="Helvetica;sans-serif"/>
                                <w:b w:val="false"/>
                                <w:color w:val="000000"/>
                                <w:sz w:val="16"/>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16"/>
                        </w:rPr>
                      </w:pPr>
                      <w:r>
                        <w:rPr>
                          <w:rFonts w:ascii="Helvetica;sans-serif" w:hAnsi="Helvetica;sans-serif"/>
                          <w:b w:val="false"/>
                          <w:color w:val="000000"/>
                          <w:sz w:val="16"/>
                        </w:rPr>
                        <w:t>4</w:t>
                      </w:r>
                    </w:p>
                  </w:txbxContent>
                </v:textbox>
                <w10:wrap type="none"/>
              </v:rect>
            </w:pict>
          </mc:Fallback>
        </mc:AlternateContent>
      </w:r>
    </w:p>
    <w:p>
      <w:pPr>
        <w:pStyle w:val="TextBody"/>
        <w:bidi w:val="0"/>
        <w:spacing w:lineRule="auto" w:line="288" w:before="0" w:after="0"/>
        <w:jc w:val="both"/>
        <w:rPr>
          <w:rFonts w:ascii="Helvetica;sans-serif" w:hAnsi="Helvetica;sans-serif"/>
          <w:b/>
          <w:color w:val="000000"/>
          <w:sz w:val="24"/>
        </w:rPr>
      </w:pPr>
      <w:r>
        <w:rPr>
          <w:rFonts w:ascii="Helvetica;sans-serif" w:hAnsi="Helvetica;sans-serif"/>
          <w:b/>
          <w:color w:val="000000"/>
          <w:sz w:val="24"/>
        </w:rPr>
        <w:t>Content &amp; Experiences</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D9D9D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9D9D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9D9D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9D9D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D9D9D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7718" w:type="dxa"/>
        <w:jc w:val="left"/>
        <w:tblInd w:w="0" w:type="dxa"/>
        <w:tblLayout w:type="fixed"/>
        <w:tblCellMar>
          <w:top w:w="28" w:type="dxa"/>
          <w:left w:w="28" w:type="dxa"/>
          <w:bottom w:w="28" w:type="dxa"/>
          <w:right w:w="28" w:type="dxa"/>
        </w:tblCellMar>
      </w:tblPr>
      <w:tblGrid>
        <w:gridCol w:w="124"/>
        <w:gridCol w:w="109"/>
        <w:gridCol w:w="109"/>
        <w:gridCol w:w="1260"/>
        <w:gridCol w:w="1260"/>
        <w:gridCol w:w="1274"/>
        <w:gridCol w:w="375"/>
        <w:gridCol w:w="376"/>
        <w:gridCol w:w="203"/>
        <w:gridCol w:w="330"/>
        <w:gridCol w:w="331"/>
        <w:gridCol w:w="203"/>
        <w:gridCol w:w="239"/>
        <w:gridCol w:w="242"/>
        <w:gridCol w:w="366"/>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4"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4"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12"/>
              </w:rPr>
            </w:pPr>
            <w:r>
              <w:rPr>
                <w:rFonts w:ascii="Helvetica;sans-serif" w:hAnsi="Helvetica;sans-serif"/>
                <w:b w:val="false"/>
                <w:i/>
                <w:color w:val="000000"/>
                <w:sz w:val="12"/>
              </w:rPr>
              <w:t>($ in millions)</w:t>
            </w:r>
          </w:p>
        </w:tc>
        <w:tc>
          <w:tcPr>
            <w:tcW w:w="954"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4"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5" w:type="dxa"/>
            <w:gridSpan w:val="9"/>
            <w:tcBorders/>
            <w:shd w:fill="D9D9D6"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6"/>
                <w:u w:val="single"/>
              </w:rPr>
            </w:pPr>
            <w:r>
              <w:rPr>
                <w:rFonts w:ascii="Helvetica;sans-serif" w:hAnsi="Helvetica;sans-serif"/>
                <w:b w:val="false"/>
                <w:color w:val="000000"/>
                <w:sz w:val="16"/>
                <w:u w:val="single"/>
              </w:rPr>
              <w:t>3rd Quarter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4"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u w:val="single"/>
              </w:rPr>
            </w:pPr>
            <w:r>
              <w:rPr>
                <w:rFonts w:ascii="Helvetica;sans-serif" w:hAnsi="Helvetica;sans-serif"/>
                <w:b w:val="false"/>
                <w:color w:val="000000"/>
                <w:sz w:val="16"/>
                <w:u w:val="single"/>
              </w:rPr>
              <w:t>2026</w:t>
            </w:r>
          </w:p>
        </w:tc>
        <w:tc>
          <w:tcPr>
            <w:tcW w:w="864" w:type="dxa"/>
            <w:gridSpan w:val="3"/>
            <w:tcBorders/>
            <w:shd w:fill="D9D9D6" w:val="clear"/>
            <w:tcMar>
              <w:top w:w="0" w:type="dxa"/>
              <w:left w:w="0" w:type="dxa"/>
              <w:bottom w:w="0" w:type="dxa"/>
              <w:right w:w="0" w:type="dxa"/>
            </w:tcMar>
            <w:vAlign w:val="center"/>
          </w:tcPr>
          <w:p>
            <w:pPr>
              <w:pStyle w:val="TableContents"/>
              <w:bidi w:val="0"/>
              <w:spacing w:lineRule="auto" w:line="240" w:before="0" w:after="0"/>
              <w:jc w:val="right"/>
              <w:rPr/>
            </w:pPr>
            <w:r>
              <w:rPr>
                <w:rFonts w:ascii="Helvetica;sans-serif" w:hAnsi="Helvetica;sans-serif"/>
                <w:b w:val="false"/>
                <w:color w:val="000000"/>
                <w:sz w:val="16"/>
                <w:u w:val="single"/>
              </w:rPr>
              <w:t>2025</w:t>
            </w:r>
            <w:r>
              <w:rPr>
                <w:rFonts w:ascii="Helvetica;sans-serif" w:hAnsi="Helvetica;sans-serif"/>
                <w:b w:val="false"/>
                <w:color w:val="000000"/>
                <w:sz w:val="10"/>
              </w:rPr>
              <w:t>6</w:t>
            </w:r>
          </w:p>
        </w:tc>
        <w:tc>
          <w:tcPr>
            <w:tcW w:w="847"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u w:val="single"/>
              </w:rPr>
            </w:pPr>
            <w:r>
              <w:rPr>
                <w:rFonts w:ascii="Helvetica;sans-serif" w:hAnsi="Helvetica;sans-serif"/>
                <w:b w:val="false"/>
                <w:color w:val="000000"/>
                <w:sz w:val="16"/>
                <w:u w:val="single"/>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4"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Content &amp; Experiences Revenue</w:t>
            </w:r>
          </w:p>
        </w:tc>
        <w:tc>
          <w:tcPr>
            <w:tcW w:w="954"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4"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Media</w:t>
            </w:r>
          </w:p>
        </w:tc>
        <w:tc>
          <w:tcPr>
            <w:tcW w:w="954"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$5,359</w:t>
            </w:r>
          </w:p>
        </w:tc>
        <w:tc>
          <w:tcPr>
            <w:tcW w:w="864"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$4,744</w:t>
            </w:r>
          </w:p>
        </w:tc>
        <w:tc>
          <w:tcPr>
            <w:tcW w:w="481"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13.0</w:t>
            </w:r>
          </w:p>
        </w:tc>
        <w:tc>
          <w:tcPr>
            <w:tcW w:w="366" w:type="dxa"/>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4" w:type="dxa"/>
            <w:gridSpan w:val="3"/>
            <w:tcBorders/>
            <w:shd w:fill="D9D9D6" w:val="clear"/>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i/>
                <w:color w:val="000000"/>
                <w:sz w:val="16"/>
              </w:rPr>
              <w:t>Excluding FIFA World Cup</w:t>
            </w:r>
            <w:r>
              <w:rPr>
                <w:rFonts w:ascii="Helvetica;sans-serif" w:hAnsi="Helvetica;sans-serif"/>
                <w:b w:val="false"/>
                <w:i/>
                <w:color w:val="000000"/>
                <w:sz w:val="10"/>
              </w:rPr>
              <w:t>10</w:t>
            </w:r>
          </w:p>
        </w:tc>
        <w:tc>
          <w:tcPr>
            <w:tcW w:w="751"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i/>
                <w:color w:val="000000"/>
                <w:sz w:val="16"/>
              </w:rPr>
            </w:pPr>
            <w:r>
              <w:rPr>
                <w:rFonts w:ascii="Helvetica;sans-serif" w:hAnsi="Helvetica;sans-serif"/>
                <w:b w:val="false"/>
                <w:i/>
                <w:color w:val="000000"/>
                <w:sz w:val="16"/>
              </w:rPr>
              <w:t>5,136 </w:t>
            </w:r>
          </w:p>
        </w:tc>
        <w:tc>
          <w:tcPr>
            <w:tcW w:w="203" w:type="dxa"/>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i/>
                <w:color w:val="000000"/>
                <w:sz w:val="16"/>
              </w:rPr>
            </w:pPr>
            <w:r>
              <w:rPr>
                <w:rFonts w:ascii="Helvetica;sans-serif" w:hAnsi="Helvetica;sans-serif"/>
                <w:b w:val="false"/>
                <w:i/>
                <w:color w:val="000000"/>
                <w:sz w:val="16"/>
              </w:rPr>
              <w:t>4,744 </w:t>
            </w:r>
          </w:p>
        </w:tc>
        <w:tc>
          <w:tcPr>
            <w:tcW w:w="203" w:type="dxa"/>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i/>
                <w:color w:val="000000"/>
                <w:sz w:val="16"/>
              </w:rPr>
            </w:pPr>
            <w:r>
              <w:rPr>
                <w:rFonts w:ascii="Helvetica;sans-serif" w:hAnsi="Helvetica;sans-serif"/>
                <w:b w:val="false"/>
                <w:i/>
                <w:color w:val="000000"/>
                <w:sz w:val="16"/>
              </w:rPr>
              <w:t>8.3</w:t>
            </w:r>
          </w:p>
        </w:tc>
        <w:tc>
          <w:tcPr>
            <w:tcW w:w="366" w:type="dxa"/>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16"/>
              </w:rPr>
            </w:pPr>
            <w:r>
              <w:rPr>
                <w:rFonts w:ascii="Helvetica;sans-serif" w:hAnsi="Helvetica;sans-serif"/>
                <w:b w:val="false"/>
                <w:i/>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794"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864"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794"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864"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794"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864"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794"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864"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4"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Studios</w:t>
            </w:r>
          </w:p>
        </w:tc>
        <w:tc>
          <w:tcPr>
            <w:tcW w:w="751"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2,967 </w:t>
            </w:r>
          </w:p>
        </w:tc>
        <w:tc>
          <w:tcPr>
            <w:tcW w:w="203" w:type="dxa"/>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3,000 </w:t>
            </w:r>
          </w:p>
        </w:tc>
        <w:tc>
          <w:tcPr>
            <w:tcW w:w="203" w:type="dxa"/>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(1.1</w:t>
            </w:r>
          </w:p>
        </w:tc>
        <w:tc>
          <w:tcPr>
            <w:tcW w:w="366" w:type="dxa"/>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4"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Theme Parks</w:t>
            </w:r>
          </w:p>
        </w:tc>
        <w:tc>
          <w:tcPr>
            <w:tcW w:w="751"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2,597 </w:t>
            </w:r>
          </w:p>
        </w:tc>
        <w:tc>
          <w:tcPr>
            <w:tcW w:w="203" w:type="dxa"/>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2,717 </w:t>
            </w:r>
          </w:p>
        </w:tc>
        <w:tc>
          <w:tcPr>
            <w:tcW w:w="203" w:type="dxa"/>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(4.4</w:t>
            </w:r>
          </w:p>
        </w:tc>
        <w:tc>
          <w:tcPr>
            <w:tcW w:w="366" w:type="dxa"/>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4"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Headquarters &amp; Other</w:t>
            </w:r>
          </w:p>
        </w:tc>
        <w:tc>
          <w:tcPr>
            <w:tcW w:w="751"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14 </w:t>
            </w:r>
          </w:p>
        </w:tc>
        <w:tc>
          <w:tcPr>
            <w:tcW w:w="203" w:type="dxa"/>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15 </w:t>
            </w:r>
          </w:p>
        </w:tc>
        <w:tc>
          <w:tcPr>
            <w:tcW w:w="203" w:type="dxa"/>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(8.8</w:t>
            </w:r>
          </w:p>
        </w:tc>
        <w:tc>
          <w:tcPr>
            <w:tcW w:w="366" w:type="dxa"/>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4"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Eliminations</w:t>
            </w:r>
          </w:p>
        </w:tc>
        <w:tc>
          <w:tcPr>
            <w:tcW w:w="751"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(400)</w:t>
            </w:r>
          </w:p>
        </w:tc>
        <w:tc>
          <w:tcPr>
            <w:tcW w:w="203" w:type="dxa"/>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(579)</w:t>
            </w:r>
          </w:p>
        </w:tc>
        <w:tc>
          <w:tcPr>
            <w:tcW w:w="203" w:type="dxa"/>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30.9</w:t>
            </w:r>
          </w:p>
        </w:tc>
        <w:tc>
          <w:tcPr>
            <w:tcW w:w="366" w:type="dxa"/>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4"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Total Content &amp; Experiences Revenue</w:t>
            </w:r>
          </w:p>
        </w:tc>
        <w:tc>
          <w:tcPr>
            <w:tcW w:w="751" w:type="dxa"/>
            <w:gridSpan w:val="2"/>
            <w:tcBorders>
              <w:top w:val="single" w:sz="4" w:space="0" w:color="000000"/>
            </w:tcBorders>
            <w:shd w:fill="D9D9D6"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6"/>
              </w:rPr>
              <w:t>$10,537</w:t>
            </w:r>
            <w:r>
              <w:rPr>
                <w:color w:val="000000"/>
              </w:rPr>
              <w:t> </w:t>
            </w:r>
          </w:p>
        </w:tc>
        <w:tc>
          <w:tcPr>
            <w:tcW w:w="203" w:type="dxa"/>
            <w:tcBorders>
              <w:top w:val="single" w:sz="4" w:space="0" w:color="000000"/>
            </w:tcBorders>
            <w:shd w:fill="D9D9D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4" w:space="0" w:color="000000"/>
            </w:tcBorders>
            <w:shd w:fill="D9D9D6"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6"/>
              </w:rPr>
              <w:t>$9,898</w:t>
            </w:r>
            <w:r>
              <w:rPr>
                <w:color w:val="000000"/>
              </w:rPr>
              <w:t> </w:t>
            </w:r>
          </w:p>
        </w:tc>
        <w:tc>
          <w:tcPr>
            <w:tcW w:w="203" w:type="dxa"/>
            <w:tcBorders>
              <w:top w:val="single" w:sz="4" w:space="0" w:color="000000"/>
            </w:tcBorders>
            <w:shd w:fill="D9D9D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4" w:space="0" w:color="000000"/>
            </w:tcBorders>
            <w:shd w:fill="D9D9D6"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6"/>
              </w:rPr>
            </w:pPr>
            <w:r>
              <w:rPr>
                <w:rFonts w:ascii="Helvetica;sans-serif" w:hAnsi="Helvetica;sans-serif"/>
                <w:b/>
                <w:color w:val="000000"/>
                <w:sz w:val="16"/>
              </w:rPr>
              <w:t>6.5</w:t>
            </w:r>
          </w:p>
        </w:tc>
        <w:tc>
          <w:tcPr>
            <w:tcW w:w="366" w:type="dxa"/>
            <w:tcBorders>
              <w:top w:val="single" w:sz="4" w:space="0" w:color="000000"/>
            </w:tcBorders>
            <w:shd w:fill="D9D9D6"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4"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4"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Content &amp; Experiences Adjusted EBITDA</w:t>
            </w:r>
          </w:p>
        </w:tc>
        <w:tc>
          <w:tcPr>
            <w:tcW w:w="954"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4"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Media</w:t>
            </w:r>
          </w:p>
        </w:tc>
        <w:tc>
          <w:tcPr>
            <w:tcW w:w="751"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$769 </w:t>
            </w:r>
          </w:p>
        </w:tc>
        <w:tc>
          <w:tcPr>
            <w:tcW w:w="203" w:type="dxa"/>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$247 </w:t>
            </w:r>
          </w:p>
        </w:tc>
        <w:tc>
          <w:tcPr>
            <w:tcW w:w="203" w:type="dxa"/>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4"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Studios</w:t>
            </w:r>
          </w:p>
        </w:tc>
        <w:tc>
          <w:tcPr>
            <w:tcW w:w="751"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402 </w:t>
            </w:r>
          </w:p>
        </w:tc>
        <w:tc>
          <w:tcPr>
            <w:tcW w:w="203" w:type="dxa"/>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339 </w:t>
            </w:r>
          </w:p>
        </w:tc>
        <w:tc>
          <w:tcPr>
            <w:tcW w:w="203" w:type="dxa"/>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18.6%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4"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Theme Parks</w:t>
            </w:r>
          </w:p>
        </w:tc>
        <w:tc>
          <w:tcPr>
            <w:tcW w:w="751"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780 </w:t>
            </w:r>
          </w:p>
        </w:tc>
        <w:tc>
          <w:tcPr>
            <w:tcW w:w="203" w:type="dxa"/>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940 </w:t>
            </w:r>
          </w:p>
        </w:tc>
        <w:tc>
          <w:tcPr>
            <w:tcW w:w="203" w:type="dxa"/>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(17.1</w:t>
            </w:r>
          </w:p>
        </w:tc>
        <w:tc>
          <w:tcPr>
            <w:tcW w:w="366" w:type="dxa"/>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4"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Headquarters &amp; Other</w:t>
            </w:r>
          </w:p>
        </w:tc>
        <w:tc>
          <w:tcPr>
            <w:tcW w:w="751"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(191)</w:t>
            </w:r>
          </w:p>
        </w:tc>
        <w:tc>
          <w:tcPr>
            <w:tcW w:w="203" w:type="dxa"/>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(204)</w:t>
            </w:r>
          </w:p>
        </w:tc>
        <w:tc>
          <w:tcPr>
            <w:tcW w:w="203" w:type="dxa"/>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6.2</w:t>
            </w:r>
          </w:p>
        </w:tc>
        <w:tc>
          <w:tcPr>
            <w:tcW w:w="366" w:type="dxa"/>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4"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Eliminations</w:t>
            </w:r>
          </w:p>
        </w:tc>
        <w:tc>
          <w:tcPr>
            <w:tcW w:w="751"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40 </w:t>
            </w:r>
          </w:p>
        </w:tc>
        <w:tc>
          <w:tcPr>
            <w:tcW w:w="203" w:type="dxa"/>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69 </w:t>
            </w:r>
          </w:p>
        </w:tc>
        <w:tc>
          <w:tcPr>
            <w:tcW w:w="203" w:type="dxa"/>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42.2</w:t>
            </w:r>
          </w:p>
        </w:tc>
        <w:tc>
          <w:tcPr>
            <w:tcW w:w="366" w:type="dxa"/>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4"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Total Content &amp; Experiences Adjusted EBITDA</w:t>
            </w:r>
          </w:p>
        </w:tc>
        <w:tc>
          <w:tcPr>
            <w:tcW w:w="751" w:type="dxa"/>
            <w:gridSpan w:val="2"/>
            <w:tcBorders>
              <w:top w:val="single" w:sz="4" w:space="0" w:color="000000"/>
            </w:tcBorders>
            <w:shd w:fill="D9D9D6"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6"/>
              </w:rPr>
              <w:t>$1,800</w:t>
            </w:r>
            <w:r>
              <w:rPr>
                <w:color w:val="000000"/>
              </w:rPr>
              <w:t> </w:t>
            </w:r>
          </w:p>
        </w:tc>
        <w:tc>
          <w:tcPr>
            <w:tcW w:w="203" w:type="dxa"/>
            <w:tcBorders>
              <w:top w:val="single" w:sz="4" w:space="0" w:color="000000"/>
            </w:tcBorders>
            <w:shd w:fill="D9D9D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4" w:space="0" w:color="000000"/>
            </w:tcBorders>
            <w:shd w:fill="D9D9D6"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6"/>
              </w:rPr>
              <w:t>$1,392</w:t>
            </w:r>
            <w:r>
              <w:rPr>
                <w:color w:val="000000"/>
              </w:rPr>
              <w:t> </w:t>
            </w:r>
          </w:p>
        </w:tc>
        <w:tc>
          <w:tcPr>
            <w:tcW w:w="203" w:type="dxa"/>
            <w:tcBorders>
              <w:top w:val="single" w:sz="4" w:space="0" w:color="000000"/>
            </w:tcBorders>
            <w:shd w:fill="D9D9D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4" w:space="0" w:color="000000"/>
            </w:tcBorders>
            <w:shd w:fill="D9D9D6"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6"/>
              </w:rPr>
            </w:pPr>
            <w:r>
              <w:rPr>
                <w:rFonts w:ascii="Helvetica;sans-serif" w:hAnsi="Helvetica;sans-serif"/>
                <w:b/>
                <w:color w:val="000000"/>
                <w:sz w:val="16"/>
              </w:rPr>
              <w:t>29.3</w:t>
            </w:r>
          </w:p>
        </w:tc>
        <w:tc>
          <w:tcPr>
            <w:tcW w:w="366" w:type="dxa"/>
            <w:tcBorders>
              <w:top w:val="single" w:sz="4" w:space="0" w:color="000000"/>
            </w:tcBorders>
            <w:shd w:fill="D9D9D6"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4"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NM=comparison not meaningful.</w:t>
            </w:r>
          </w:p>
        </w:tc>
        <w:tc>
          <w:tcPr>
            <w:tcW w:w="954"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794"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864"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Helvetica;sans-serif" w:hAnsi="Helvetica;sans-serif"/>
          <w:b/>
          <w:i/>
          <w:color w:val="000000"/>
          <w:sz w:val="20"/>
        </w:rPr>
        <w:t xml:space="preserve">Revenue </w:t>
      </w:r>
      <w:r>
        <w:rPr>
          <w:rFonts w:ascii="Helvetica;sans-serif" w:hAnsi="Helvetica;sans-serif"/>
          <w:b w:val="false"/>
          <w:color w:val="000000"/>
          <w:sz w:val="20"/>
        </w:rPr>
        <w:t xml:space="preserve">for Content &amp; Experiences increased compared to the prior year period primarily driven by Media, which included $224 million of incremental revenue from the FIFA World Cup. </w:t>
      </w:r>
      <w:r>
        <w:rPr>
          <w:rFonts w:ascii="Helvetica;sans-serif" w:hAnsi="Helvetica;sans-serif"/>
          <w:b/>
          <w:i/>
          <w:color w:val="000000"/>
          <w:sz w:val="20"/>
        </w:rPr>
        <w:t>Adjusted EBITDA</w:t>
      </w:r>
      <w:r>
        <w:rPr>
          <w:color w:val="000000"/>
        </w:rPr>
        <w:t xml:space="preserve"> </w:t>
      </w:r>
      <w:r>
        <w:rPr>
          <w:rFonts w:ascii="Helvetica;sans-serif" w:hAnsi="Helvetica;sans-serif"/>
          <w:b w:val="false"/>
          <w:color w:val="000000"/>
          <w:sz w:val="20"/>
        </w:rPr>
        <w:t>for Content &amp; Experiences increased primarily due to growth in Media and Studios, partially offset by a decline in Theme Parks.</w:t>
      </w:r>
    </w:p>
    <w:p>
      <w:pPr>
        <w:pStyle w:val="TextBody"/>
        <w:bidi w:val="0"/>
        <w:spacing w:before="0" w:after="0"/>
        <w:jc w:val="both"/>
        <w:rPr/>
      </w:pPr>
      <w:r>
        <w:rPr/>
      </w:r>
    </w:p>
    <w:p>
      <w:pPr>
        <w:pStyle w:val="TextBody"/>
        <w:bidi w:val="0"/>
        <w:spacing w:lineRule="auto" w:line="288" w:before="0" w:after="0"/>
        <w:jc w:val="both"/>
        <w:rPr/>
      </w:pPr>
      <w:r>
        <w:rPr>
          <w:rFonts w:ascii="Helvetica;sans-serif" w:hAnsi="Helvetica;sans-serif"/>
          <w:b/>
          <w:color w:val="000000"/>
          <w:sz w:val="20"/>
        </w:rPr>
        <w:t>Media</w:t>
      </w:r>
      <w:r>
        <w:rPr>
          <w:color w:val="000000"/>
        </w:rPr>
        <w:t xml:space="preserve"> </w:t>
      </w:r>
    </w:p>
    <w:p>
      <w:pPr>
        <w:pStyle w:val="TextBody"/>
        <w:bidi w:val="0"/>
        <w:spacing w:before="0" w:after="0"/>
        <w:jc w:val="both"/>
        <w:rPr/>
      </w:pPr>
      <w:r>
        <w:rPr/>
      </w:r>
    </w:p>
    <w:tbl>
      <w:tblPr>
        <w:tblW w:w="6218" w:type="dxa"/>
        <w:jc w:val="left"/>
        <w:tblInd w:w="0" w:type="dxa"/>
        <w:tblLayout w:type="fixed"/>
        <w:tblCellMar>
          <w:top w:w="28" w:type="dxa"/>
          <w:left w:w="28" w:type="dxa"/>
          <w:bottom w:w="28" w:type="dxa"/>
          <w:right w:w="28" w:type="dxa"/>
        </w:tblCellMar>
      </w:tblPr>
      <w:tblGrid>
        <w:gridCol w:w="124"/>
        <w:gridCol w:w="109"/>
        <w:gridCol w:w="109"/>
        <w:gridCol w:w="824"/>
        <w:gridCol w:w="824"/>
        <w:gridCol w:w="796"/>
        <w:gridCol w:w="330"/>
        <w:gridCol w:w="331"/>
        <w:gridCol w:w="203"/>
        <w:gridCol w:w="330"/>
        <w:gridCol w:w="331"/>
        <w:gridCol w:w="203"/>
        <w:gridCol w:w="210"/>
        <w:gridCol w:w="211"/>
        <w:gridCol w:w="366"/>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12"/>
              </w:rPr>
            </w:pPr>
            <w:r>
              <w:rPr>
                <w:rFonts w:ascii="Helvetica;sans-serif" w:hAnsi="Helvetica;sans-serif"/>
                <w:b w:val="false"/>
                <w:i/>
                <w:color w:val="000000"/>
                <w:sz w:val="12"/>
              </w:rPr>
              <w:t>($ in millions)</w:t>
            </w:r>
          </w:p>
        </w:tc>
        <w:tc>
          <w:tcPr>
            <w:tcW w:w="864"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5" w:type="dxa"/>
            <w:gridSpan w:val="9"/>
            <w:tcBorders/>
            <w:shd w:fill="D9D9D6"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6"/>
                <w:u w:val="single"/>
              </w:rPr>
            </w:pPr>
            <w:r>
              <w:rPr>
                <w:rFonts w:ascii="Helvetica;sans-serif" w:hAnsi="Helvetica;sans-serif"/>
                <w:b w:val="false"/>
                <w:color w:val="000000"/>
                <w:sz w:val="16"/>
                <w:u w:val="single"/>
              </w:rPr>
              <w:t>3rd Quarter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u w:val="single"/>
              </w:rPr>
            </w:pPr>
            <w:r>
              <w:rPr>
                <w:rFonts w:ascii="Helvetica;sans-serif" w:hAnsi="Helvetica;sans-serif"/>
                <w:b w:val="false"/>
                <w:color w:val="000000"/>
                <w:sz w:val="16"/>
                <w:u w:val="single"/>
              </w:rPr>
              <w:t>2026</w:t>
            </w:r>
          </w:p>
        </w:tc>
        <w:tc>
          <w:tcPr>
            <w:tcW w:w="864" w:type="dxa"/>
            <w:gridSpan w:val="3"/>
            <w:tcBorders/>
            <w:shd w:fill="D9D9D6" w:val="clear"/>
            <w:tcMar>
              <w:top w:w="0" w:type="dxa"/>
              <w:left w:w="0" w:type="dxa"/>
              <w:bottom w:w="0" w:type="dxa"/>
              <w:right w:w="0" w:type="dxa"/>
            </w:tcMar>
            <w:vAlign w:val="center"/>
          </w:tcPr>
          <w:p>
            <w:pPr>
              <w:pStyle w:val="TableContents"/>
              <w:bidi w:val="0"/>
              <w:spacing w:lineRule="auto" w:line="240" w:before="0" w:after="0"/>
              <w:jc w:val="right"/>
              <w:rPr/>
            </w:pPr>
            <w:r>
              <w:rPr>
                <w:rFonts w:ascii="Helvetica;sans-serif" w:hAnsi="Helvetica;sans-serif"/>
                <w:b w:val="false"/>
                <w:color w:val="000000"/>
                <w:sz w:val="16"/>
                <w:u w:val="single"/>
              </w:rPr>
              <w:t>2025</w:t>
            </w:r>
            <w:r>
              <w:rPr>
                <w:rFonts w:ascii="Helvetica;sans-serif" w:hAnsi="Helvetica;sans-serif"/>
                <w:b w:val="false"/>
                <w:color w:val="000000"/>
                <w:sz w:val="10"/>
              </w:rPr>
              <w:t>6</w:t>
            </w:r>
          </w:p>
        </w:tc>
        <w:tc>
          <w:tcPr>
            <w:tcW w:w="787"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u w:val="single"/>
              </w:rPr>
            </w:pPr>
            <w:r>
              <w:rPr>
                <w:rFonts w:ascii="Helvetica;sans-serif" w:hAnsi="Helvetica;sans-serif"/>
                <w:b w:val="false"/>
                <w:color w:val="000000"/>
                <w:sz w:val="16"/>
                <w:u w:val="single"/>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Revenue</w:t>
            </w:r>
          </w:p>
        </w:tc>
        <w:tc>
          <w:tcPr>
            <w:tcW w:w="864"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Domestic Advertising</w:t>
            </w:r>
          </w:p>
        </w:tc>
        <w:tc>
          <w:tcPr>
            <w:tcW w:w="8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$1,783</w:t>
            </w:r>
          </w:p>
        </w:tc>
        <w:tc>
          <w:tcPr>
            <w:tcW w:w="8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$1,556</w:t>
            </w:r>
          </w:p>
        </w:tc>
        <w:tc>
          <w:tcPr>
            <w:tcW w:w="421"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14.6</w:t>
            </w:r>
          </w:p>
        </w:tc>
        <w:tc>
          <w:tcPr>
            <w:tcW w:w="366" w:type="dxa"/>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shd w:fill="D9D9D6" w:val="clear"/>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i/>
                <w:color w:val="000000"/>
                <w:sz w:val="16"/>
              </w:rPr>
              <w:t>Excluding FIFA World Cup</w:t>
            </w:r>
            <w:r>
              <w:rPr>
                <w:rFonts w:ascii="Helvetica;sans-serif" w:hAnsi="Helvetica;sans-serif"/>
                <w:b w:val="false"/>
                <w:i/>
                <w:color w:val="000000"/>
                <w:sz w:val="10"/>
              </w:rPr>
              <w:t>10</w:t>
            </w:r>
          </w:p>
        </w:tc>
        <w:tc>
          <w:tcPr>
            <w:tcW w:w="66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i/>
                <w:color w:val="000000"/>
                <w:sz w:val="16"/>
              </w:rPr>
            </w:pPr>
            <w:r>
              <w:rPr>
                <w:rFonts w:ascii="Helvetica;sans-serif" w:hAnsi="Helvetica;sans-serif"/>
                <w:b w:val="false"/>
                <w:i/>
                <w:color w:val="000000"/>
                <w:sz w:val="16"/>
              </w:rPr>
              <w:t>1,560 </w:t>
            </w:r>
          </w:p>
        </w:tc>
        <w:tc>
          <w:tcPr>
            <w:tcW w:w="20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i/>
                <w:color w:val="000000"/>
                <w:sz w:val="16"/>
              </w:rPr>
            </w:pPr>
            <w:r>
              <w:rPr>
                <w:rFonts w:ascii="Helvetica;sans-serif" w:hAnsi="Helvetica;sans-serif"/>
                <w:b w:val="false"/>
                <w:i/>
                <w:color w:val="000000"/>
                <w:sz w:val="16"/>
              </w:rPr>
              <w:t>1,556 </w:t>
            </w:r>
          </w:p>
        </w:tc>
        <w:tc>
          <w:tcPr>
            <w:tcW w:w="20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i/>
                <w:color w:val="000000"/>
                <w:sz w:val="16"/>
              </w:rPr>
            </w:pPr>
            <w:r>
              <w:rPr>
                <w:rFonts w:ascii="Helvetica;sans-serif" w:hAnsi="Helvetica;sans-serif"/>
                <w:b w:val="false"/>
                <w:i/>
                <w:color w:val="000000"/>
                <w:sz w:val="16"/>
              </w:rPr>
              <w:t>0.3</w:t>
            </w:r>
          </w:p>
        </w:tc>
        <w:tc>
          <w:tcPr>
            <w:tcW w:w="366" w:type="dxa"/>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16"/>
              </w:rPr>
            </w:pPr>
            <w:r>
              <w:rPr>
                <w:rFonts w:ascii="Helvetica;sans-serif" w:hAnsi="Helvetica;sans-serif"/>
                <w:b w:val="false"/>
                <w:i/>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Domestic Distribution</w:t>
            </w:r>
          </w:p>
        </w:tc>
        <w:tc>
          <w:tcPr>
            <w:tcW w:w="661"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2,069 </w:t>
            </w:r>
          </w:p>
        </w:tc>
        <w:tc>
          <w:tcPr>
            <w:tcW w:w="203" w:type="dxa"/>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1,690 </w:t>
            </w:r>
          </w:p>
        </w:tc>
        <w:tc>
          <w:tcPr>
            <w:tcW w:w="20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22.4</w:t>
            </w:r>
          </w:p>
        </w:tc>
        <w:tc>
          <w:tcPr>
            <w:tcW w:w="366" w:type="dxa"/>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International Networks</w:t>
            </w:r>
          </w:p>
        </w:tc>
        <w:tc>
          <w:tcPr>
            <w:tcW w:w="661"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1,270 </w:t>
            </w:r>
          </w:p>
        </w:tc>
        <w:tc>
          <w:tcPr>
            <w:tcW w:w="203" w:type="dxa"/>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1,239 </w:t>
            </w:r>
          </w:p>
        </w:tc>
        <w:tc>
          <w:tcPr>
            <w:tcW w:w="20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2.5</w:t>
            </w:r>
          </w:p>
        </w:tc>
        <w:tc>
          <w:tcPr>
            <w:tcW w:w="366" w:type="dxa"/>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Other</w:t>
            </w:r>
          </w:p>
        </w:tc>
        <w:tc>
          <w:tcPr>
            <w:tcW w:w="661"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236 </w:t>
            </w:r>
          </w:p>
        </w:tc>
        <w:tc>
          <w:tcPr>
            <w:tcW w:w="203" w:type="dxa"/>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259 </w:t>
            </w:r>
          </w:p>
        </w:tc>
        <w:tc>
          <w:tcPr>
            <w:tcW w:w="20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(8.9</w:t>
            </w:r>
          </w:p>
        </w:tc>
        <w:tc>
          <w:tcPr>
            <w:tcW w:w="366" w:type="dxa"/>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Total Revenue</w:t>
            </w:r>
          </w:p>
        </w:tc>
        <w:tc>
          <w:tcPr>
            <w:tcW w:w="661" w:type="dxa"/>
            <w:gridSpan w:val="2"/>
            <w:tcBorders>
              <w:top w:val="single" w:sz="4" w:space="0" w:color="000000"/>
            </w:tcBorders>
            <w:shd w:fill="D9D9D6"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6"/>
              </w:rPr>
              <w:t>$5,359</w:t>
            </w:r>
            <w:r>
              <w:rPr>
                <w:color w:val="000000"/>
              </w:rPr>
              <w:t> </w:t>
            </w:r>
          </w:p>
        </w:tc>
        <w:tc>
          <w:tcPr>
            <w:tcW w:w="203" w:type="dxa"/>
            <w:tcBorders>
              <w:top w:val="single" w:sz="4" w:space="0" w:color="000000"/>
            </w:tcBorders>
            <w:shd w:fill="D9D9D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6"/>
              </w:rPr>
              <w:t>$4,744</w:t>
            </w:r>
            <w:r>
              <w:rPr>
                <w:color w:val="000000"/>
              </w:rPr>
              <w:t> </w:t>
            </w:r>
          </w:p>
        </w:tc>
        <w:tc>
          <w:tcPr>
            <w:tcW w:w="203"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4" w:space="0" w:color="000000"/>
            </w:tcBorders>
            <w:shd w:fill="D9D9D6"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6"/>
              </w:rPr>
            </w:pPr>
            <w:r>
              <w:rPr>
                <w:rFonts w:ascii="Helvetica;sans-serif" w:hAnsi="Helvetica;sans-serif"/>
                <w:b/>
                <w:color w:val="000000"/>
                <w:sz w:val="16"/>
              </w:rPr>
              <w:t>13.0</w:t>
            </w:r>
          </w:p>
        </w:tc>
        <w:tc>
          <w:tcPr>
            <w:tcW w:w="366" w:type="dxa"/>
            <w:tcBorders>
              <w:top w:val="single" w:sz="4" w:space="0" w:color="000000"/>
            </w:tcBorders>
            <w:shd w:fill="D9D9D6"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shd w:fill="D9D9D6" w:val="clear"/>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i/>
                <w:color w:val="000000"/>
                <w:sz w:val="16"/>
              </w:rPr>
              <w:t>Excluding FIFA World Cup</w:t>
            </w:r>
            <w:r>
              <w:rPr>
                <w:rFonts w:ascii="Helvetica;sans-serif" w:hAnsi="Helvetica;sans-serif"/>
                <w:b w:val="false"/>
                <w:i/>
                <w:color w:val="000000"/>
                <w:sz w:val="10"/>
              </w:rPr>
              <w:t>10</w:t>
            </w:r>
          </w:p>
        </w:tc>
        <w:tc>
          <w:tcPr>
            <w:tcW w:w="66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i/>
                <w:color w:val="000000"/>
                <w:sz w:val="16"/>
              </w:rPr>
            </w:pPr>
            <w:r>
              <w:rPr>
                <w:rFonts w:ascii="Helvetica;sans-serif" w:hAnsi="Helvetica;sans-serif"/>
                <w:b w:val="false"/>
                <w:i/>
                <w:color w:val="000000"/>
                <w:sz w:val="16"/>
              </w:rPr>
              <w:t>5,136 </w:t>
            </w:r>
          </w:p>
        </w:tc>
        <w:tc>
          <w:tcPr>
            <w:tcW w:w="20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i/>
                <w:color w:val="000000"/>
                <w:sz w:val="16"/>
              </w:rPr>
            </w:pPr>
            <w:r>
              <w:rPr>
                <w:rFonts w:ascii="Helvetica;sans-serif" w:hAnsi="Helvetica;sans-serif"/>
                <w:b w:val="false"/>
                <w:i/>
                <w:color w:val="000000"/>
                <w:sz w:val="16"/>
              </w:rPr>
              <w:t>4,744 </w:t>
            </w:r>
          </w:p>
        </w:tc>
        <w:tc>
          <w:tcPr>
            <w:tcW w:w="20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i/>
                <w:color w:val="000000"/>
                <w:sz w:val="16"/>
              </w:rPr>
            </w:pPr>
            <w:r>
              <w:rPr>
                <w:rFonts w:ascii="Helvetica;sans-serif" w:hAnsi="Helvetica;sans-serif"/>
                <w:b w:val="false"/>
                <w:i/>
                <w:color w:val="000000"/>
                <w:sz w:val="16"/>
              </w:rPr>
              <w:t>8.3</w:t>
            </w:r>
          </w:p>
        </w:tc>
        <w:tc>
          <w:tcPr>
            <w:tcW w:w="366" w:type="dxa"/>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16"/>
              </w:rPr>
            </w:pPr>
            <w:r>
              <w:rPr>
                <w:rFonts w:ascii="Helvetica;sans-serif" w:hAnsi="Helvetica;sans-serif"/>
                <w:b w:val="false"/>
                <w:i/>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Operating Expenses</w:t>
            </w:r>
          </w:p>
        </w:tc>
        <w:tc>
          <w:tcPr>
            <w:tcW w:w="661"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4,590 </w:t>
            </w:r>
          </w:p>
        </w:tc>
        <w:tc>
          <w:tcPr>
            <w:tcW w:w="203" w:type="dxa"/>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4,497 </w:t>
            </w:r>
          </w:p>
        </w:tc>
        <w:tc>
          <w:tcPr>
            <w:tcW w:w="20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2.1</w:t>
            </w:r>
          </w:p>
        </w:tc>
        <w:tc>
          <w:tcPr>
            <w:tcW w:w="366" w:type="dxa"/>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Adjusted EBITDA</w:t>
            </w:r>
          </w:p>
        </w:tc>
        <w:tc>
          <w:tcPr>
            <w:tcW w:w="661" w:type="dxa"/>
            <w:gridSpan w:val="2"/>
            <w:tcBorders>
              <w:top w:val="single" w:sz="4" w:space="0" w:color="000000"/>
            </w:tcBorders>
            <w:shd w:fill="D9D9D6"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6"/>
              </w:rPr>
              <w:t>$769</w:t>
            </w:r>
            <w:r>
              <w:rPr>
                <w:color w:val="000000"/>
              </w:rPr>
              <w:t> </w:t>
            </w:r>
          </w:p>
        </w:tc>
        <w:tc>
          <w:tcPr>
            <w:tcW w:w="203" w:type="dxa"/>
            <w:tcBorders>
              <w:top w:val="single" w:sz="4" w:space="0" w:color="000000"/>
            </w:tcBorders>
            <w:shd w:fill="D9D9D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6"/>
              </w:rPr>
              <w:t>$247</w:t>
            </w:r>
            <w:r>
              <w:rPr>
                <w:color w:val="000000"/>
              </w:rPr>
              <w:t> </w:t>
            </w:r>
          </w:p>
        </w:tc>
        <w:tc>
          <w:tcPr>
            <w:tcW w:w="203"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4" w:space="0" w:color="000000"/>
            </w:tcBorders>
            <w:shd w:fill="D9D9D6"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6"/>
              </w:rPr>
            </w:pPr>
            <w:r>
              <w:rPr>
                <w:rFonts w:ascii="Helvetica;sans-serif" w:hAnsi="Helvetica;sans-serif"/>
                <w:b/>
                <w:color w:val="000000"/>
                <w:sz w:val="16"/>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NM=comparison not meaningful.</w:t>
            </w:r>
          </w:p>
        </w:tc>
        <w:tc>
          <w:tcPr>
            <w:tcW w:w="864"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68" w:before="0" w:after="0"/>
        <w:jc w:val="both"/>
        <w:rPr/>
      </w:pPr>
      <w:r>
        <w:rPr>
          <w:rFonts w:ascii="Helvetica;sans-serif" w:hAnsi="Helvetica;sans-serif"/>
          <w:b/>
          <w:i/>
          <w:color w:val="000000"/>
          <w:sz w:val="20"/>
        </w:rPr>
        <w:t>Revenue</w:t>
      </w:r>
      <w:r>
        <w:rPr>
          <w:color w:val="000000"/>
        </w:rPr>
        <w:t xml:space="preserve"> </w:t>
      </w:r>
      <w:r>
        <w:rPr>
          <w:rFonts w:ascii="Helvetica;sans-serif" w:hAnsi="Helvetica;sans-serif"/>
          <w:b w:val="false"/>
          <w:color w:val="000000"/>
          <w:sz w:val="20"/>
        </w:rPr>
        <w:t>for Media increased primarily due to higher domestic distribution and domestic advertising revenue. Excluding $224 million of incremental revenue from the FIFA World Cup, Media revenue increased 8.3%. Domestic advertising revenue increased primarily due to the impact of the FIFA World Cup. Excluding the incremental revenue associated with this event, domestic advertising revenue was consistent primarily reflecting higher revenue at Peacock, offset by lower revenue at our networks. Domestic distribution revenue increased primarily due to higher revenue at Peacock, driven by higher average rates and an increase in paid subscribers compared to the prior year period.</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16840"/>
                <wp:effectExtent l="0" t="0" r="0" b="0"/>
                <wp:wrapNone/>
                <wp:docPr id="9" name="Frame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16"/>
                              </w:rPr>
                            </w:pPr>
                            <w:r>
                              <w:rPr>
                                <w:rFonts w:ascii="Helvetica;sans-serif" w:hAnsi="Helvetica;sans-serif"/>
                                <w:b w:val="false"/>
                                <w:color w:val="000000"/>
                                <w:sz w:val="16"/>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16"/>
                        </w:rPr>
                      </w:pPr>
                      <w:r>
                        <w:rPr>
                          <w:rFonts w:ascii="Helvetica;sans-serif" w:hAnsi="Helvetica;sans-serif"/>
                          <w:b w:val="false"/>
                          <w:color w:val="000000"/>
                          <w:sz w:val="16"/>
                        </w:rPr>
                        <w:t>5</w:t>
                      </w:r>
                    </w:p>
                  </w:txbxContent>
                </v:textbox>
                <w10:wrap type="none"/>
              </v:rect>
            </w:pict>
          </mc:Fallback>
        </mc:AlternateContent>
      </w:r>
    </w:p>
    <w:p>
      <w:pPr>
        <w:pStyle w:val="TextBody"/>
        <w:bidi w:val="0"/>
        <w:spacing w:lineRule="auto" w:line="268" w:before="0" w:after="0"/>
        <w:jc w:val="both"/>
        <w:rPr/>
      </w:pPr>
      <w:r>
        <w:rPr>
          <w:rFonts w:ascii="Helvetica;sans-serif" w:hAnsi="Helvetica;sans-serif"/>
          <w:b/>
          <w:i/>
          <w:color w:val="000000"/>
          <w:sz w:val="20"/>
        </w:rPr>
        <w:t>Adjusted EBITDA</w:t>
      </w:r>
      <w:r>
        <w:rPr>
          <w:color w:val="000000"/>
        </w:rPr>
        <w:t xml:space="preserve"> </w:t>
      </w:r>
      <w:r>
        <w:rPr>
          <w:rFonts w:ascii="Helvetica;sans-serif" w:hAnsi="Helvetica;sans-serif"/>
          <w:b w:val="false"/>
          <w:color w:val="000000"/>
          <w:sz w:val="20"/>
        </w:rPr>
        <w:t>for Media increased due to higher revenue partially offset by higher operating expenses. The increase in operating expenses was primarily driven by higher other expenses, partially offset by lower programming and production costs. Other expenses increased primarily due to costs related to Peacock. Programming and production costs decreased primarily due to lower programming costs at Peacock and our international networks, partially offset by costs associated with the FIFA World Cup. Media results include $1.8 billion of revenue and Adjusted EBITDA</w:t>
      </w:r>
      <w:r>
        <w:rPr>
          <w:rFonts w:ascii="Helvetica;sans-serif" w:hAnsi="Helvetica;sans-serif"/>
          <w:b w:val="false"/>
          <w:color w:val="000000"/>
          <w:sz w:val="13"/>
        </w:rPr>
        <w:t>11</w:t>
      </w:r>
      <w:r>
        <w:rPr>
          <w:color w:val="000000"/>
        </w:rPr>
        <w:t xml:space="preserve"> </w:t>
      </w:r>
      <w:r>
        <w:rPr>
          <w:rFonts w:ascii="Helvetica;sans-serif" w:hAnsi="Helvetica;sans-serif"/>
          <w:b w:val="false"/>
          <w:color w:val="000000"/>
          <w:sz w:val="20"/>
        </w:rPr>
        <w:t>of $261 million related to Peacock, which includes amounts attributable to the FIFA World Cup, compared to $1.4 billion of revenue and an Adjusted EBITDA</w:t>
      </w:r>
      <w:r>
        <w:rPr>
          <w:rFonts w:ascii="Helvetica;sans-serif" w:hAnsi="Helvetica;sans-serif"/>
          <w:b w:val="false"/>
          <w:color w:val="000000"/>
          <w:sz w:val="13"/>
        </w:rPr>
        <w:t>11</w:t>
      </w:r>
      <w:r>
        <w:rPr>
          <w:color w:val="000000"/>
        </w:rPr>
        <w:t xml:space="preserve"> </w:t>
      </w:r>
      <w:r>
        <w:rPr>
          <w:rFonts w:ascii="Helvetica;sans-serif" w:hAnsi="Helvetica;sans-serif"/>
          <w:b w:val="false"/>
          <w:color w:val="000000"/>
          <w:sz w:val="20"/>
        </w:rPr>
        <w:t>loss of $217 million in the prior year period.</w:t>
      </w:r>
    </w:p>
    <w:p>
      <w:pPr>
        <w:pStyle w:val="TextBody"/>
        <w:bidi w:val="0"/>
        <w:spacing w:before="0" w:after="0"/>
        <w:jc w:val="both"/>
        <w:rPr/>
      </w:pPr>
      <w:r>
        <w:rPr/>
      </w:r>
    </w:p>
    <w:p>
      <w:pPr>
        <w:pStyle w:val="TextBody"/>
        <w:bidi w:val="0"/>
        <w:spacing w:lineRule="auto" w:line="288" w:before="0" w:after="0"/>
        <w:jc w:val="both"/>
        <w:rPr>
          <w:rFonts w:ascii="Helvetica;sans-serif" w:hAnsi="Helvetica;sans-serif"/>
          <w:b/>
          <w:color w:val="000000"/>
          <w:sz w:val="20"/>
        </w:rPr>
      </w:pPr>
      <w:r>
        <w:rPr>
          <w:rFonts w:ascii="Helvetica;sans-serif" w:hAnsi="Helvetica;sans-serif"/>
          <w:b/>
          <w:color w:val="000000"/>
          <w:sz w:val="20"/>
        </w:rPr>
        <w:t>Studios</w:t>
      </w:r>
    </w:p>
    <w:p>
      <w:pPr>
        <w:pStyle w:val="TextBody"/>
        <w:bidi w:val="0"/>
        <w:spacing w:before="0" w:after="0"/>
        <w:jc w:val="both"/>
        <w:rPr/>
      </w:pPr>
      <w:r>
        <w:rPr/>
      </w:r>
    </w:p>
    <w:tbl>
      <w:tblPr>
        <w:tblW w:w="5365" w:type="dxa"/>
        <w:jc w:val="left"/>
        <w:tblInd w:w="0" w:type="dxa"/>
        <w:tblLayout w:type="fixed"/>
        <w:tblCellMar>
          <w:top w:w="28" w:type="dxa"/>
          <w:left w:w="28" w:type="dxa"/>
          <w:bottom w:w="28" w:type="dxa"/>
          <w:right w:w="28" w:type="dxa"/>
        </w:tblCellMar>
      </w:tblPr>
      <w:tblGrid>
        <w:gridCol w:w="124"/>
        <w:gridCol w:w="109"/>
        <w:gridCol w:w="109"/>
        <w:gridCol w:w="534"/>
        <w:gridCol w:w="534"/>
        <w:gridCol w:w="537"/>
        <w:gridCol w:w="330"/>
        <w:gridCol w:w="331"/>
        <w:gridCol w:w="156"/>
        <w:gridCol w:w="330"/>
        <w:gridCol w:w="331"/>
        <w:gridCol w:w="176"/>
        <w:gridCol w:w="240"/>
        <w:gridCol w:w="241"/>
        <w:gridCol w:w="366"/>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12"/>
              </w:rPr>
            </w:pPr>
            <w:r>
              <w:rPr>
                <w:rFonts w:ascii="Helvetica;sans-serif" w:hAnsi="Helvetica;sans-serif"/>
                <w:b w:val="false"/>
                <w:i/>
                <w:color w:val="000000"/>
                <w:sz w:val="12"/>
              </w:rPr>
              <w:t>($ in millions)</w:t>
            </w:r>
          </w:p>
        </w:tc>
        <w:tc>
          <w:tcPr>
            <w:tcW w:w="81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1" w:type="dxa"/>
            <w:gridSpan w:val="9"/>
            <w:tcBorders/>
            <w:shd w:fill="D9D9D6"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6"/>
                <w:u w:val="single"/>
              </w:rPr>
            </w:pPr>
            <w:r>
              <w:rPr>
                <w:rFonts w:ascii="Helvetica;sans-serif" w:hAnsi="Helvetica;sans-serif"/>
                <w:b w:val="false"/>
                <w:color w:val="000000"/>
                <w:sz w:val="16"/>
                <w:u w:val="single"/>
              </w:rPr>
              <w:t>3rd Quarter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u w:val="single"/>
              </w:rPr>
            </w:pPr>
            <w:r>
              <w:rPr>
                <w:rFonts w:ascii="Helvetica;sans-serif" w:hAnsi="Helvetica;sans-serif"/>
                <w:b w:val="false"/>
                <w:color w:val="000000"/>
                <w:sz w:val="16"/>
                <w:u w:val="single"/>
              </w:rPr>
              <w:t>2026</w:t>
            </w:r>
          </w:p>
        </w:tc>
        <w:tc>
          <w:tcPr>
            <w:tcW w:w="837" w:type="dxa"/>
            <w:gridSpan w:val="3"/>
            <w:tcBorders/>
            <w:shd w:fill="D9D9D6" w:val="clear"/>
            <w:tcMar>
              <w:top w:w="0" w:type="dxa"/>
              <w:left w:w="0" w:type="dxa"/>
              <w:bottom w:w="0" w:type="dxa"/>
              <w:right w:w="0" w:type="dxa"/>
            </w:tcMar>
            <w:vAlign w:val="center"/>
          </w:tcPr>
          <w:p>
            <w:pPr>
              <w:pStyle w:val="TableContents"/>
              <w:bidi w:val="0"/>
              <w:spacing w:lineRule="auto" w:line="240" w:before="0" w:after="0"/>
              <w:jc w:val="right"/>
              <w:rPr/>
            </w:pPr>
            <w:r>
              <w:rPr>
                <w:rFonts w:ascii="Helvetica;sans-serif" w:hAnsi="Helvetica;sans-serif"/>
                <w:b w:val="false"/>
                <w:color w:val="000000"/>
                <w:sz w:val="16"/>
                <w:u w:val="single"/>
              </w:rPr>
              <w:t>2025</w:t>
            </w:r>
            <w:r>
              <w:rPr>
                <w:rFonts w:ascii="Helvetica;sans-serif" w:hAnsi="Helvetica;sans-serif"/>
                <w:b w:val="false"/>
                <w:color w:val="000000"/>
                <w:sz w:val="10"/>
              </w:rPr>
              <w:t>6</w:t>
            </w:r>
          </w:p>
        </w:tc>
        <w:tc>
          <w:tcPr>
            <w:tcW w:w="847"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u w:val="single"/>
              </w:rPr>
            </w:pPr>
            <w:r>
              <w:rPr>
                <w:rFonts w:ascii="Helvetica;sans-serif" w:hAnsi="Helvetica;sans-serif"/>
                <w:b w:val="false"/>
                <w:color w:val="000000"/>
                <w:sz w:val="16"/>
                <w:u w:val="single"/>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Revenue</w:t>
            </w:r>
          </w:p>
        </w:tc>
        <w:tc>
          <w:tcPr>
            <w:tcW w:w="81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Content Licensing</w:t>
            </w:r>
          </w:p>
        </w:tc>
        <w:tc>
          <w:tcPr>
            <w:tcW w:w="661"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$1,553 </w:t>
            </w:r>
          </w:p>
        </w:tc>
        <w:tc>
          <w:tcPr>
            <w:tcW w:w="156" w:type="dxa"/>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$2,035 </w:t>
            </w:r>
          </w:p>
        </w:tc>
        <w:tc>
          <w:tcPr>
            <w:tcW w:w="176" w:type="dxa"/>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(23.7</w:t>
            </w:r>
          </w:p>
        </w:tc>
        <w:tc>
          <w:tcPr>
            <w:tcW w:w="366" w:type="dxa"/>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Theatrical</w:t>
            </w:r>
          </w:p>
        </w:tc>
        <w:tc>
          <w:tcPr>
            <w:tcW w:w="661"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1,129 </w:t>
            </w:r>
          </w:p>
        </w:tc>
        <w:tc>
          <w:tcPr>
            <w:tcW w:w="156" w:type="dxa"/>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639 </w:t>
            </w:r>
          </w:p>
        </w:tc>
        <w:tc>
          <w:tcPr>
            <w:tcW w:w="176" w:type="dxa"/>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76.6%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Other</w:t>
            </w:r>
          </w:p>
        </w:tc>
        <w:tc>
          <w:tcPr>
            <w:tcW w:w="661"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285 </w:t>
            </w:r>
          </w:p>
        </w:tc>
        <w:tc>
          <w:tcPr>
            <w:tcW w:w="156" w:type="dxa"/>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326 </w:t>
            </w:r>
          </w:p>
        </w:tc>
        <w:tc>
          <w:tcPr>
            <w:tcW w:w="176" w:type="dxa"/>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(12.7</w:t>
            </w:r>
          </w:p>
        </w:tc>
        <w:tc>
          <w:tcPr>
            <w:tcW w:w="366" w:type="dxa"/>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Total Revenue</w:t>
            </w:r>
          </w:p>
        </w:tc>
        <w:tc>
          <w:tcPr>
            <w:tcW w:w="661" w:type="dxa"/>
            <w:gridSpan w:val="2"/>
            <w:tcBorders>
              <w:top w:val="single" w:sz="4" w:space="0" w:color="000000"/>
            </w:tcBorders>
            <w:shd w:fill="D9D9D6"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6"/>
              </w:rPr>
              <w:t>$2,967</w:t>
            </w:r>
            <w:r>
              <w:rPr>
                <w:color w:val="000000"/>
              </w:rPr>
              <w:t> </w:t>
            </w:r>
          </w:p>
        </w:tc>
        <w:tc>
          <w:tcPr>
            <w:tcW w:w="156" w:type="dxa"/>
            <w:tcBorders>
              <w:top w:val="single" w:sz="4" w:space="0" w:color="000000"/>
            </w:tcBorders>
            <w:shd w:fill="D9D9D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4" w:space="0" w:color="000000"/>
            </w:tcBorders>
            <w:shd w:fill="D9D9D6"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6"/>
              </w:rPr>
              <w:t>$3,000</w:t>
            </w:r>
            <w:r>
              <w:rPr>
                <w:color w:val="000000"/>
              </w:rPr>
              <w:t> </w:t>
            </w:r>
          </w:p>
        </w:tc>
        <w:tc>
          <w:tcPr>
            <w:tcW w:w="176" w:type="dxa"/>
            <w:tcBorders>
              <w:top w:val="single" w:sz="4" w:space="0" w:color="000000"/>
            </w:tcBorders>
            <w:shd w:fill="D9D9D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4" w:space="0" w:color="000000"/>
            </w:tcBorders>
            <w:shd w:fill="D9D9D6"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6"/>
              </w:rPr>
            </w:pPr>
            <w:r>
              <w:rPr>
                <w:rFonts w:ascii="Helvetica;sans-serif" w:hAnsi="Helvetica;sans-serif"/>
                <w:b/>
                <w:color w:val="000000"/>
                <w:sz w:val="16"/>
              </w:rPr>
              <w:t>(1.1</w:t>
            </w:r>
          </w:p>
        </w:tc>
        <w:tc>
          <w:tcPr>
            <w:tcW w:w="366" w:type="dxa"/>
            <w:tcBorders>
              <w:top w:val="single" w:sz="4" w:space="0" w:color="000000"/>
            </w:tcBorders>
            <w:shd w:fill="D9D9D6"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Operating Expenses</w:t>
            </w:r>
          </w:p>
        </w:tc>
        <w:tc>
          <w:tcPr>
            <w:tcW w:w="661"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2,565 </w:t>
            </w:r>
          </w:p>
        </w:tc>
        <w:tc>
          <w:tcPr>
            <w:tcW w:w="156" w:type="dxa"/>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2,661 </w:t>
            </w:r>
          </w:p>
        </w:tc>
        <w:tc>
          <w:tcPr>
            <w:tcW w:w="176" w:type="dxa"/>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(3.6</w:t>
            </w:r>
          </w:p>
        </w:tc>
        <w:tc>
          <w:tcPr>
            <w:tcW w:w="366" w:type="dxa"/>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Adjusted EBITDA</w:t>
            </w:r>
          </w:p>
        </w:tc>
        <w:tc>
          <w:tcPr>
            <w:tcW w:w="661" w:type="dxa"/>
            <w:gridSpan w:val="2"/>
            <w:tcBorders>
              <w:top w:val="single" w:sz="4" w:space="0" w:color="000000"/>
            </w:tcBorders>
            <w:shd w:fill="D9D9D6"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6"/>
              </w:rPr>
              <w:t>$402</w:t>
            </w:r>
            <w:r>
              <w:rPr>
                <w:color w:val="000000"/>
              </w:rPr>
              <w:t> </w:t>
            </w:r>
          </w:p>
        </w:tc>
        <w:tc>
          <w:tcPr>
            <w:tcW w:w="156" w:type="dxa"/>
            <w:tcBorders>
              <w:top w:val="single" w:sz="4" w:space="0" w:color="000000"/>
            </w:tcBorders>
            <w:shd w:fill="D9D9D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4" w:space="0" w:color="000000"/>
            </w:tcBorders>
            <w:shd w:fill="D9D9D6"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6"/>
              </w:rPr>
              <w:t>$339</w:t>
            </w:r>
            <w:r>
              <w:rPr>
                <w:color w:val="000000"/>
              </w:rPr>
              <w:t> </w:t>
            </w:r>
          </w:p>
        </w:tc>
        <w:tc>
          <w:tcPr>
            <w:tcW w:w="176" w:type="dxa"/>
            <w:tcBorders>
              <w:top w:val="single" w:sz="4" w:space="0" w:color="000000"/>
            </w:tcBorders>
            <w:shd w:fill="D9D9D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4" w:space="0" w:color="000000"/>
            </w:tcBorders>
            <w:shd w:fill="D9D9D6"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6"/>
              </w:rPr>
            </w:pPr>
            <w:r>
              <w:rPr>
                <w:rFonts w:ascii="Helvetica;sans-serif" w:hAnsi="Helvetica;sans-serif"/>
                <w:b/>
                <w:color w:val="000000"/>
                <w:sz w:val="16"/>
              </w:rPr>
              <w:t>18.6%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68" w:before="0" w:after="0"/>
        <w:jc w:val="both"/>
        <w:rPr/>
      </w:pPr>
      <w:r>
        <w:rPr>
          <w:rFonts w:ascii="Helvetica;sans-serif" w:hAnsi="Helvetica;sans-serif"/>
          <w:b/>
          <w:i/>
          <w:color w:val="000000"/>
          <w:sz w:val="20"/>
        </w:rPr>
        <w:t>Revenue</w:t>
      </w:r>
      <w:r>
        <w:rPr>
          <w:color w:val="000000"/>
        </w:rPr>
        <w:t xml:space="preserve"> </w:t>
      </w:r>
      <w:r>
        <w:rPr>
          <w:rFonts w:ascii="Helvetica;sans-serif" w:hAnsi="Helvetica;sans-serif"/>
          <w:b w:val="false"/>
          <w:color w:val="000000"/>
          <w:sz w:val="20"/>
        </w:rPr>
        <w:t xml:space="preserve">for Studios decreased primarily due to lower content licensing revenue, partially offset by higher theatrical revenue. Content licensing revenue decreased primarily due to the timing of when content was made available by our television studios. Theatrical revenue increased primarily due to the successful performance of recent releases, including </w:t>
      </w:r>
      <w:r>
        <w:rPr>
          <w:rFonts w:ascii="Helvetica;sans-serif" w:hAnsi="Helvetica;sans-serif"/>
          <w:b w:val="false"/>
          <w:i/>
          <w:color w:val="000000"/>
          <w:sz w:val="20"/>
        </w:rPr>
        <w:t xml:space="preserve">The Odyssey </w:t>
      </w:r>
      <w:r>
        <w:rPr>
          <w:rFonts w:ascii="Helvetica;sans-serif" w:hAnsi="Helvetica;sans-serif"/>
          <w:b w:val="false"/>
          <w:color w:val="000000"/>
          <w:sz w:val="20"/>
        </w:rPr>
        <w:t xml:space="preserve">and </w:t>
      </w:r>
      <w:r>
        <w:rPr>
          <w:rFonts w:ascii="Helvetica;sans-serif" w:hAnsi="Helvetica;sans-serif"/>
          <w:b w:val="false"/>
          <w:i/>
          <w:color w:val="000000"/>
          <w:sz w:val="20"/>
        </w:rPr>
        <w:t>Minions &amp; Monsters</w:t>
      </w:r>
      <w:r>
        <w:rPr>
          <w:rFonts w:ascii="Helvetica;sans-serif" w:hAnsi="Helvetica;sans-serif"/>
          <w:b w:val="false"/>
          <w:color w:val="000000"/>
          <w:sz w:val="20"/>
        </w:rPr>
        <w:t xml:space="preserve">, as well as the carryover benefit of </w:t>
      </w:r>
      <w:r>
        <w:rPr>
          <w:rFonts w:ascii="Helvetica;sans-serif" w:hAnsi="Helvetica;sans-serif"/>
          <w:b w:val="false"/>
          <w:i/>
          <w:color w:val="000000"/>
          <w:sz w:val="20"/>
        </w:rPr>
        <w:t>Obsession</w:t>
      </w:r>
      <w:r>
        <w:rPr>
          <w:rFonts w:ascii="Helvetica;sans-serif" w:hAnsi="Helvetica;sans-serif"/>
          <w:b w:val="false"/>
          <w:color w:val="000000"/>
          <w:sz w:val="20"/>
        </w:rPr>
        <w:t>.</w:t>
      </w:r>
    </w:p>
    <w:p>
      <w:pPr>
        <w:pStyle w:val="TextBody"/>
        <w:bidi w:val="0"/>
        <w:spacing w:before="0" w:after="0"/>
        <w:jc w:val="both"/>
        <w:rPr/>
      </w:pPr>
      <w:r>
        <w:rPr/>
      </w:r>
    </w:p>
    <w:p>
      <w:pPr>
        <w:pStyle w:val="TextBody"/>
        <w:bidi w:val="0"/>
        <w:spacing w:lineRule="auto" w:line="268" w:before="0" w:after="0"/>
        <w:jc w:val="both"/>
        <w:rPr/>
      </w:pPr>
      <w:r>
        <w:rPr>
          <w:rFonts w:ascii="Helvetica;sans-serif" w:hAnsi="Helvetica;sans-serif"/>
          <w:b/>
          <w:i/>
          <w:color w:val="000000"/>
          <w:sz w:val="20"/>
        </w:rPr>
        <w:t>Adjusted EBITDA</w:t>
      </w:r>
      <w:r>
        <w:rPr>
          <w:color w:val="000000"/>
        </w:rPr>
        <w:t xml:space="preserve"> </w:t>
      </w:r>
      <w:r>
        <w:rPr>
          <w:rFonts w:ascii="Helvetica;sans-serif" w:hAnsi="Helvetica;sans-serif"/>
          <w:b w:val="false"/>
          <w:color w:val="000000"/>
          <w:sz w:val="20"/>
        </w:rPr>
        <w:t>for Studios increased due to lower operating expenses, which more than offset lower revenue. The decrease in operating expenses was primarily driven by lower programming and production expenses, mainly due to lower content licensing sales at our television studios, partially offset by higher film costs, as well as lower marketing and promotion expenses due to the timing of spending on recent and upcoming theatrical film releases.</w:t>
      </w:r>
    </w:p>
    <w:p>
      <w:pPr>
        <w:pStyle w:val="TextBody"/>
        <w:bidi w:val="0"/>
        <w:spacing w:before="0" w:after="0"/>
        <w:jc w:val="both"/>
        <w:rPr/>
      </w:pPr>
      <w:r>
        <w:rPr/>
      </w:r>
    </w:p>
    <w:p>
      <w:pPr>
        <w:pStyle w:val="TextBody"/>
        <w:bidi w:val="0"/>
        <w:spacing w:lineRule="auto" w:line="276" w:before="0" w:after="0"/>
        <w:jc w:val="both"/>
        <w:rPr>
          <w:rFonts w:ascii="Helvetica;sans-serif" w:hAnsi="Helvetica;sans-serif"/>
          <w:b/>
          <w:color w:val="000000"/>
          <w:sz w:val="20"/>
        </w:rPr>
      </w:pPr>
      <w:r>
        <w:rPr>
          <w:rFonts w:ascii="Helvetica;sans-serif" w:hAnsi="Helvetica;sans-serif"/>
          <w:b/>
          <w:color w:val="000000"/>
          <w:sz w:val="20"/>
        </w:rPr>
        <w:t>Theme Parks</w:t>
      </w:r>
    </w:p>
    <w:p>
      <w:pPr>
        <w:pStyle w:val="TextBody"/>
        <w:bidi w:val="0"/>
        <w:spacing w:before="0" w:after="0"/>
        <w:jc w:val="both"/>
        <w:rPr/>
      </w:pPr>
      <w:r>
        <w:rPr/>
      </w:r>
    </w:p>
    <w:tbl>
      <w:tblPr>
        <w:tblW w:w="5553" w:type="dxa"/>
        <w:jc w:val="left"/>
        <w:tblInd w:w="0" w:type="dxa"/>
        <w:tblLayout w:type="fixed"/>
        <w:tblCellMar>
          <w:top w:w="28" w:type="dxa"/>
          <w:left w:w="28" w:type="dxa"/>
          <w:bottom w:w="28" w:type="dxa"/>
          <w:right w:w="28" w:type="dxa"/>
        </w:tblCellMar>
      </w:tblPr>
      <w:tblGrid>
        <w:gridCol w:w="124"/>
        <w:gridCol w:w="109"/>
        <w:gridCol w:w="109"/>
        <w:gridCol w:w="542"/>
        <w:gridCol w:w="542"/>
        <w:gridCol w:w="521"/>
        <w:gridCol w:w="323"/>
        <w:gridCol w:w="323"/>
        <w:gridCol w:w="156"/>
        <w:gridCol w:w="323"/>
        <w:gridCol w:w="323"/>
        <w:gridCol w:w="176"/>
        <w:gridCol w:w="239"/>
        <w:gridCol w:w="242"/>
        <w:gridCol w:w="366"/>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12"/>
              </w:rPr>
            </w:pPr>
            <w:r>
              <w:rPr>
                <w:rFonts w:ascii="Helvetica;sans-serif" w:hAnsi="Helvetica;sans-serif"/>
                <w:b w:val="false"/>
                <w:i/>
                <w:color w:val="000000"/>
                <w:sz w:val="12"/>
              </w:rPr>
              <w:t>($ in millions)</w:t>
            </w:r>
          </w:p>
        </w:tc>
        <w:tc>
          <w:tcPr>
            <w:tcW w:w="80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1" w:type="dxa"/>
            <w:gridSpan w:val="9"/>
            <w:tcBorders/>
            <w:shd w:fill="D9D9D6"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6"/>
                <w:u w:val="single"/>
              </w:rPr>
            </w:pPr>
            <w:r>
              <w:rPr>
                <w:rFonts w:ascii="Helvetica;sans-serif" w:hAnsi="Helvetica;sans-serif"/>
                <w:b w:val="false"/>
                <w:color w:val="000000"/>
                <w:sz w:val="16"/>
                <w:u w:val="single"/>
              </w:rPr>
              <w:t>3rd Quarter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u w:val="single"/>
              </w:rPr>
            </w:pPr>
            <w:r>
              <w:rPr>
                <w:rFonts w:ascii="Helvetica;sans-serif" w:hAnsi="Helvetica;sans-serif"/>
                <w:b w:val="false"/>
                <w:color w:val="000000"/>
                <w:sz w:val="16"/>
                <w:u w:val="single"/>
              </w:rPr>
              <w:t>2026</w:t>
            </w:r>
          </w:p>
        </w:tc>
        <w:tc>
          <w:tcPr>
            <w:tcW w:w="822" w:type="dxa"/>
            <w:gridSpan w:val="3"/>
            <w:tcBorders/>
            <w:shd w:fill="D9D9D6" w:val="clear"/>
            <w:tcMar>
              <w:top w:w="0" w:type="dxa"/>
              <w:left w:w="0" w:type="dxa"/>
              <w:bottom w:w="0" w:type="dxa"/>
              <w:right w:w="0" w:type="dxa"/>
            </w:tcMar>
            <w:vAlign w:val="center"/>
          </w:tcPr>
          <w:p>
            <w:pPr>
              <w:pStyle w:val="TableContents"/>
              <w:bidi w:val="0"/>
              <w:spacing w:lineRule="auto" w:line="240" w:before="0" w:after="0"/>
              <w:jc w:val="right"/>
              <w:rPr/>
            </w:pPr>
            <w:r>
              <w:rPr>
                <w:rFonts w:ascii="Helvetica;sans-serif" w:hAnsi="Helvetica;sans-serif"/>
                <w:b w:val="false"/>
                <w:color w:val="000000"/>
                <w:sz w:val="16"/>
                <w:u w:val="single"/>
              </w:rPr>
              <w:t>2025</w:t>
            </w:r>
            <w:r>
              <w:rPr>
                <w:rFonts w:ascii="Helvetica;sans-serif" w:hAnsi="Helvetica;sans-serif"/>
                <w:b w:val="false"/>
                <w:color w:val="000000"/>
                <w:sz w:val="10"/>
              </w:rPr>
              <w:t>6</w:t>
            </w:r>
          </w:p>
        </w:tc>
        <w:tc>
          <w:tcPr>
            <w:tcW w:w="847"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u w:val="single"/>
              </w:rPr>
            </w:pPr>
            <w:r>
              <w:rPr>
                <w:rFonts w:ascii="Helvetica;sans-serif" w:hAnsi="Helvetica;sans-serif"/>
                <w:b w:val="false"/>
                <w:color w:val="000000"/>
                <w:sz w:val="16"/>
                <w:u w:val="single"/>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Revenue</w:t>
            </w:r>
          </w:p>
        </w:tc>
        <w:tc>
          <w:tcPr>
            <w:tcW w:w="646"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$2,597 </w:t>
            </w:r>
          </w:p>
        </w:tc>
        <w:tc>
          <w:tcPr>
            <w:tcW w:w="156" w:type="dxa"/>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$2,717 </w:t>
            </w:r>
          </w:p>
        </w:tc>
        <w:tc>
          <w:tcPr>
            <w:tcW w:w="176" w:type="dxa"/>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(4.4</w:t>
            </w:r>
          </w:p>
        </w:tc>
        <w:tc>
          <w:tcPr>
            <w:tcW w:w="366" w:type="dxa"/>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Operating Expenses</w:t>
            </w:r>
          </w:p>
        </w:tc>
        <w:tc>
          <w:tcPr>
            <w:tcW w:w="646"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1,817 </w:t>
            </w:r>
          </w:p>
        </w:tc>
        <w:tc>
          <w:tcPr>
            <w:tcW w:w="156" w:type="dxa"/>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1,777 </w:t>
            </w:r>
          </w:p>
        </w:tc>
        <w:tc>
          <w:tcPr>
            <w:tcW w:w="176" w:type="dxa"/>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2.3</w:t>
            </w:r>
          </w:p>
        </w:tc>
        <w:tc>
          <w:tcPr>
            <w:tcW w:w="366" w:type="dxa"/>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Adjusted EBITDA</w:t>
            </w:r>
          </w:p>
        </w:tc>
        <w:tc>
          <w:tcPr>
            <w:tcW w:w="646" w:type="dxa"/>
            <w:gridSpan w:val="2"/>
            <w:tcBorders>
              <w:top w:val="single" w:sz="4" w:space="0" w:color="000000"/>
            </w:tcBorders>
            <w:shd w:fill="D9D9D6"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6"/>
              </w:rPr>
              <w:t>$780</w:t>
            </w:r>
            <w:r>
              <w:rPr>
                <w:color w:val="000000"/>
              </w:rPr>
              <w:t> </w:t>
            </w:r>
          </w:p>
        </w:tc>
        <w:tc>
          <w:tcPr>
            <w:tcW w:w="156" w:type="dxa"/>
            <w:tcBorders>
              <w:top w:val="single" w:sz="4" w:space="0" w:color="000000"/>
            </w:tcBorders>
            <w:shd w:fill="D9D9D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000000"/>
            </w:tcBorders>
            <w:shd w:fill="D9D9D6"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6"/>
              </w:rPr>
              <w:t>$940</w:t>
            </w:r>
            <w:r>
              <w:rPr>
                <w:color w:val="000000"/>
              </w:rPr>
              <w:t> </w:t>
            </w:r>
          </w:p>
        </w:tc>
        <w:tc>
          <w:tcPr>
            <w:tcW w:w="176" w:type="dxa"/>
            <w:tcBorders>
              <w:top w:val="single" w:sz="4" w:space="0" w:color="000000"/>
            </w:tcBorders>
            <w:shd w:fill="D9D9D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4" w:space="0" w:color="000000"/>
            </w:tcBorders>
            <w:shd w:fill="D9D9D6"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6"/>
              </w:rPr>
            </w:pPr>
            <w:r>
              <w:rPr>
                <w:rFonts w:ascii="Helvetica;sans-serif" w:hAnsi="Helvetica;sans-serif"/>
                <w:b/>
                <w:color w:val="000000"/>
                <w:sz w:val="16"/>
              </w:rPr>
              <w:t>(17.1</w:t>
            </w:r>
          </w:p>
        </w:tc>
        <w:tc>
          <w:tcPr>
            <w:tcW w:w="366" w:type="dxa"/>
            <w:tcBorders>
              <w:top w:val="single" w:sz="4" w:space="0" w:color="000000"/>
            </w:tcBorders>
            <w:shd w:fill="D9D9D6"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68" w:before="0" w:after="0"/>
        <w:jc w:val="left"/>
        <w:rPr/>
      </w:pPr>
      <w:r>
        <w:rPr>
          <w:rFonts w:ascii="Helvetica;sans-serif" w:hAnsi="Helvetica;sans-serif"/>
          <w:b/>
          <w:i/>
          <w:color w:val="000000"/>
          <w:sz w:val="20"/>
        </w:rPr>
        <w:t>Revenue</w:t>
      </w:r>
      <w:r>
        <w:rPr>
          <w:color w:val="000000"/>
        </w:rPr>
        <w:t xml:space="preserve"> </w:t>
      </w:r>
      <w:r>
        <w:rPr>
          <w:rFonts w:ascii="Helvetica;sans-serif" w:hAnsi="Helvetica;sans-serif"/>
          <w:b w:val="false"/>
          <w:color w:val="000000"/>
          <w:sz w:val="20"/>
        </w:rPr>
        <w:t>for Theme Parks decreased primarily due to lower revenue from park admissions, including from the impact of increased promotional activity.</w:t>
      </w:r>
    </w:p>
    <w:p>
      <w:pPr>
        <w:pStyle w:val="TextBody"/>
        <w:bidi w:val="0"/>
        <w:spacing w:before="0" w:after="0"/>
        <w:jc w:val="both"/>
        <w:rPr/>
      </w:pPr>
      <w:r>
        <w:rPr/>
      </w:r>
    </w:p>
    <w:p>
      <w:pPr>
        <w:pStyle w:val="TextBody"/>
        <w:bidi w:val="0"/>
        <w:spacing w:lineRule="auto" w:line="268" w:before="0" w:after="0"/>
        <w:jc w:val="both"/>
        <w:rPr/>
      </w:pPr>
      <w:r>
        <w:rPr>
          <w:rFonts w:ascii="Helvetica;sans-serif" w:hAnsi="Helvetica;sans-serif"/>
          <w:b/>
          <w:i/>
          <w:color w:val="000000"/>
          <w:sz w:val="20"/>
        </w:rPr>
        <w:t>Adjusted EBITDA</w:t>
      </w:r>
      <w:r>
        <w:rPr>
          <w:color w:val="000000"/>
        </w:rPr>
        <w:t xml:space="preserve"> </w:t>
      </w:r>
      <w:r>
        <w:rPr>
          <w:rFonts w:ascii="Helvetica;sans-serif" w:hAnsi="Helvetica;sans-serif"/>
          <w:b w:val="false"/>
          <w:color w:val="000000"/>
          <w:sz w:val="20"/>
        </w:rPr>
        <w:t>for Theme Parks decreased reflecting lower revenue and higher operating expenses. The increase in operating expenses was primarily due to operating costs associated with our domestic parks, partially offset by a decrease in operating costs at our international parks.</w:t>
      </w:r>
    </w:p>
    <w:p>
      <w:pPr>
        <w:pStyle w:val="TextBody"/>
        <w:bidi w:val="0"/>
        <w:spacing w:before="0" w:after="0"/>
        <w:jc w:val="both"/>
        <w:rPr/>
      </w:pPr>
      <w:r>
        <w:rPr/>
      </w:r>
    </w:p>
    <w:p>
      <w:pPr>
        <w:pStyle w:val="TextBody"/>
        <w:bidi w:val="0"/>
        <w:spacing w:lineRule="auto" w:line="288" w:before="0" w:after="0"/>
        <w:jc w:val="both"/>
        <w:rPr>
          <w:rFonts w:ascii="Helvetica;sans-serif" w:hAnsi="Helvetica;sans-serif"/>
          <w:b/>
          <w:color w:val="000000"/>
          <w:sz w:val="20"/>
        </w:rPr>
      </w:pPr>
      <w:r>
        <w:rPr>
          <w:rFonts w:ascii="Helvetica;sans-serif" w:hAnsi="Helvetica;sans-serif"/>
          <w:b/>
          <w:color w:val="000000"/>
          <w:sz w:val="20"/>
        </w:rPr>
        <w:t>Headquarters &amp; Other</w:t>
      </w:r>
    </w:p>
    <w:p>
      <w:pPr>
        <w:pStyle w:val="TextBody"/>
        <w:bidi w:val="0"/>
        <w:spacing w:before="0" w:after="0"/>
        <w:jc w:val="both"/>
        <w:rPr/>
      </w:pPr>
      <w:r>
        <w:rPr/>
      </w:r>
    </w:p>
    <w:p>
      <w:pPr>
        <w:pStyle w:val="TextBody"/>
        <w:bidi w:val="0"/>
        <w:spacing w:lineRule="auto" w:line="288" w:before="0" w:after="0"/>
        <w:jc w:val="both"/>
        <w:rPr>
          <w:rFonts w:ascii="Helvetica;sans-serif" w:hAnsi="Helvetica;sans-serif"/>
          <w:b w:val="false"/>
          <w:color w:val="000000"/>
          <w:sz w:val="20"/>
        </w:rPr>
      </w:pPr>
      <w:r>
        <w:rPr>
          <w:rFonts w:ascii="Helvetica;sans-serif" w:hAnsi="Helvetica;sans-serif"/>
          <w:b w:val="false"/>
          <w:color w:val="000000"/>
          <w:sz w:val="20"/>
        </w:rPr>
        <w:t>Content &amp; Experiences Headquarters &amp; Other includes overhead, personnel costs and costs associated with corporate initiatives. Headquarters &amp; Other Adjusted EBITDA loss in the third quarter was $191 million, compared to a loss of $204 million in the prior year period.</w:t>
      </w:r>
    </w:p>
    <w:p>
      <w:pPr>
        <w:pStyle w:val="TextBody"/>
        <w:bidi w:val="0"/>
        <w:spacing w:before="0" w:after="0"/>
        <w:jc w:val="both"/>
        <w:rPr/>
      </w:pPr>
      <w:r>
        <w:rPr/>
      </w:r>
    </w:p>
    <w:p>
      <w:pPr>
        <w:pStyle w:val="TextBody"/>
        <w:bidi w:val="0"/>
        <w:spacing w:lineRule="auto" w:line="288" w:before="0" w:after="0"/>
        <w:jc w:val="both"/>
        <w:rPr>
          <w:rFonts w:ascii="Helvetica;sans-serif" w:hAnsi="Helvetica;sans-serif"/>
          <w:b/>
          <w:color w:val="000000"/>
          <w:sz w:val="20"/>
        </w:rPr>
      </w:pPr>
      <w:r>
        <w:rPr>
          <w:rFonts w:ascii="Helvetica;sans-serif" w:hAnsi="Helvetica;sans-serif"/>
          <w:b/>
          <w:color w:val="000000"/>
          <w:sz w:val="20"/>
        </w:rPr>
        <w:t>Eliminations</w:t>
      </w:r>
    </w:p>
    <w:p>
      <w:pPr>
        <w:pStyle w:val="TextBody"/>
        <w:bidi w:val="0"/>
        <w:spacing w:before="0" w:after="0"/>
        <w:jc w:val="both"/>
        <w:rPr/>
      </w:pPr>
      <w:r>
        <w:rPr/>
      </w:r>
    </w:p>
    <w:p>
      <w:pPr>
        <w:pStyle w:val="TextBody"/>
        <w:bidi w:val="0"/>
        <w:spacing w:lineRule="auto" w:line="268"/>
        <w:jc w:val="both"/>
        <w:rPr>
          <w:rFonts w:ascii="Helvetica;sans-serif" w:hAnsi="Helvetica;sans-serif"/>
          <w:b w:val="false"/>
          <w:color w:val="000000"/>
          <w:sz w:val="20"/>
        </w:rPr>
      </w:pPr>
      <w:r>
        <w:rPr>
          <w:rFonts w:ascii="Helvetica;sans-serif" w:hAnsi="Helvetica;sans-serif"/>
          <w:b w:val="false"/>
          <w:color w:val="000000"/>
          <w:sz w:val="20"/>
        </w:rPr>
        <w:t xml:space="preserve">Amounts represent eliminations of transactions between our Content &amp; Experiences segments, the most significant being content licensing between the Studios and Media segments, which are affected by the timing of recognition of content licenses. Revenue eliminations were $400 million, compared to $579 </w:t>
      </w: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16840"/>
                <wp:effectExtent l="0" t="0" r="0" b="0"/>
                <wp:wrapNone/>
                <wp:docPr id="10" name="Frame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16"/>
                              </w:rPr>
                            </w:pPr>
                            <w:r>
                              <w:rPr>
                                <w:rFonts w:ascii="Helvetica;sans-serif" w:hAnsi="Helvetica;sans-serif"/>
                                <w:b w:val="false"/>
                                <w:color w:val="000000"/>
                                <w:sz w:val="16"/>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16"/>
                        </w:rPr>
                      </w:pPr>
                      <w:r>
                        <w:rPr>
                          <w:rFonts w:ascii="Helvetica;sans-serif" w:hAnsi="Helvetica;sans-serif"/>
                          <w:b w:val="false"/>
                          <w:color w:val="000000"/>
                          <w:sz w:val="16"/>
                        </w:rPr>
                        <w:t>6</w:t>
                      </w:r>
                    </w:p>
                  </w:txbxContent>
                </v:textbox>
                <w10:wrap type="none"/>
              </v:rect>
            </w:pict>
          </mc:Fallback>
        </mc:AlternateContent>
      </w:r>
    </w:p>
    <w:p>
      <w:pPr>
        <w:pStyle w:val="TextBody"/>
        <w:bidi w:val="0"/>
        <w:spacing w:lineRule="auto" w:line="268" w:before="0" w:after="0"/>
        <w:jc w:val="both"/>
        <w:rPr>
          <w:rFonts w:ascii="Helvetica;sans-serif" w:hAnsi="Helvetica;sans-serif"/>
          <w:b w:val="false"/>
          <w:color w:val="000000"/>
          <w:sz w:val="20"/>
        </w:rPr>
      </w:pPr>
      <w:r>
        <w:rPr>
          <w:rFonts w:ascii="Helvetica;sans-serif" w:hAnsi="Helvetica;sans-serif"/>
          <w:b w:val="false"/>
          <w:color w:val="000000"/>
          <w:sz w:val="20"/>
        </w:rPr>
        <w:t>million in the prior year period, and Adjusted EBITDA eliminations were a benefit of $40 million, compared to a benefit of $69 million in the prior year period.</w:t>
      </w:r>
    </w:p>
    <w:p>
      <w:pPr>
        <w:pStyle w:val="TextBody"/>
        <w:bidi w:val="0"/>
        <w:spacing w:before="0" w:after="0"/>
        <w:jc w:val="both"/>
        <w:rPr/>
      </w:pPr>
      <w:r>
        <w:rPr/>
      </w:r>
    </w:p>
    <w:p>
      <w:pPr>
        <w:pStyle w:val="TextBody"/>
        <w:bidi w:val="0"/>
        <w:spacing w:lineRule="auto" w:line="288" w:before="0" w:after="0"/>
        <w:jc w:val="both"/>
        <w:rPr>
          <w:rFonts w:ascii="Helvetica;sans-serif" w:hAnsi="Helvetica;sans-serif"/>
          <w:b/>
          <w:color w:val="000000"/>
          <w:sz w:val="24"/>
        </w:rPr>
      </w:pPr>
      <w:r>
        <w:rPr>
          <w:rFonts w:ascii="Helvetica;sans-serif" w:hAnsi="Helvetica;sans-serif"/>
          <w:b/>
          <w:color w:val="000000"/>
          <w:sz w:val="24"/>
        </w:rPr>
        <w:t>Corporate, Other and Eliminations</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D9D9D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op w:val="single" w:sz="8" w:space="0" w:color="D9D9D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D9D9D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6233" w:type="dxa"/>
        <w:jc w:val="left"/>
        <w:tblInd w:w="0" w:type="dxa"/>
        <w:tblLayout w:type="fixed"/>
        <w:tblCellMar>
          <w:top w:w="28" w:type="dxa"/>
          <w:left w:w="28" w:type="dxa"/>
          <w:bottom w:w="28" w:type="dxa"/>
          <w:right w:w="28" w:type="dxa"/>
        </w:tblCellMar>
      </w:tblPr>
      <w:tblGrid>
        <w:gridCol w:w="124"/>
        <w:gridCol w:w="109"/>
        <w:gridCol w:w="109"/>
        <w:gridCol w:w="812"/>
        <w:gridCol w:w="812"/>
        <w:gridCol w:w="821"/>
        <w:gridCol w:w="358"/>
        <w:gridCol w:w="362"/>
        <w:gridCol w:w="156"/>
        <w:gridCol w:w="358"/>
        <w:gridCol w:w="362"/>
        <w:gridCol w:w="176"/>
        <w:gridCol w:w="194"/>
        <w:gridCol w:w="197"/>
        <w:gridCol w:w="366"/>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12"/>
              </w:rPr>
            </w:pPr>
            <w:r>
              <w:rPr>
                <w:rFonts w:ascii="Helvetica;sans-serif" w:hAnsi="Helvetica;sans-serif"/>
                <w:b w:val="false"/>
                <w:i/>
                <w:color w:val="000000"/>
                <w:sz w:val="12"/>
              </w:rPr>
              <w:t>($ in millions)</w:t>
            </w:r>
          </w:p>
        </w:tc>
        <w:tc>
          <w:tcPr>
            <w:tcW w:w="876"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9"/>
            <w:tcBorders/>
            <w:shd w:fill="D9D9D6"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6"/>
                <w:u w:val="single"/>
              </w:rPr>
            </w:pPr>
            <w:r>
              <w:rPr>
                <w:rFonts w:ascii="Helvetica;sans-serif" w:hAnsi="Helvetica;sans-serif"/>
                <w:b w:val="false"/>
                <w:color w:val="000000"/>
                <w:sz w:val="16"/>
                <w:u w:val="single"/>
              </w:rPr>
              <w:t>3rd Quarter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u w:val="single"/>
              </w:rPr>
            </w:pPr>
            <w:r>
              <w:rPr>
                <w:rFonts w:ascii="Helvetica;sans-serif" w:hAnsi="Helvetica;sans-serif"/>
                <w:b w:val="false"/>
                <w:color w:val="000000"/>
                <w:sz w:val="16"/>
                <w:u w:val="single"/>
              </w:rPr>
              <w:t>2026</w:t>
            </w:r>
          </w:p>
        </w:tc>
        <w:tc>
          <w:tcPr>
            <w:tcW w:w="896" w:type="dxa"/>
            <w:gridSpan w:val="3"/>
            <w:tcBorders/>
            <w:shd w:fill="D9D9D6" w:val="clear"/>
            <w:tcMar>
              <w:top w:w="0" w:type="dxa"/>
              <w:left w:w="0" w:type="dxa"/>
              <w:bottom w:w="0" w:type="dxa"/>
              <w:right w:w="0" w:type="dxa"/>
            </w:tcMar>
            <w:vAlign w:val="center"/>
          </w:tcPr>
          <w:p>
            <w:pPr>
              <w:pStyle w:val="TableContents"/>
              <w:bidi w:val="0"/>
              <w:spacing w:lineRule="auto" w:line="240" w:before="0" w:after="0"/>
              <w:jc w:val="right"/>
              <w:rPr/>
            </w:pPr>
            <w:r>
              <w:rPr>
                <w:rFonts w:ascii="Helvetica;sans-serif" w:hAnsi="Helvetica;sans-serif"/>
                <w:b w:val="false"/>
                <w:color w:val="000000"/>
                <w:sz w:val="16"/>
                <w:u w:val="single"/>
              </w:rPr>
              <w:t>2025</w:t>
            </w:r>
            <w:r>
              <w:rPr>
                <w:rFonts w:ascii="Helvetica;sans-serif" w:hAnsi="Helvetica;sans-serif"/>
                <w:b w:val="false"/>
                <w:color w:val="000000"/>
                <w:sz w:val="10"/>
              </w:rPr>
              <w:t>6</w:t>
            </w:r>
          </w:p>
        </w:tc>
        <w:tc>
          <w:tcPr>
            <w:tcW w:w="757"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u w:val="single"/>
              </w:rPr>
            </w:pPr>
            <w:r>
              <w:rPr>
                <w:rFonts w:ascii="Helvetica;sans-serif" w:hAnsi="Helvetica;sans-serif"/>
                <w:b w:val="false"/>
                <w:color w:val="000000"/>
                <w:sz w:val="16"/>
                <w:u w:val="single"/>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Corporate &amp; Other</w:t>
            </w:r>
          </w:p>
        </w:tc>
        <w:tc>
          <w:tcPr>
            <w:tcW w:w="876"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Revenue</w:t>
            </w:r>
          </w:p>
        </w:tc>
        <w:tc>
          <w:tcPr>
            <w:tcW w:w="720"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$341 </w:t>
            </w:r>
          </w:p>
        </w:tc>
        <w:tc>
          <w:tcPr>
            <w:tcW w:w="156" w:type="dxa"/>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$315 </w:t>
            </w:r>
          </w:p>
        </w:tc>
        <w:tc>
          <w:tcPr>
            <w:tcW w:w="176" w:type="dxa"/>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8.2</w:t>
            </w:r>
          </w:p>
        </w:tc>
        <w:tc>
          <w:tcPr>
            <w:tcW w:w="366" w:type="dxa"/>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Operating Expenses</w:t>
            </w:r>
          </w:p>
        </w:tc>
        <w:tc>
          <w:tcPr>
            <w:tcW w:w="720"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640 </w:t>
            </w:r>
          </w:p>
        </w:tc>
        <w:tc>
          <w:tcPr>
            <w:tcW w:w="156" w:type="dxa"/>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587 </w:t>
            </w:r>
          </w:p>
        </w:tc>
        <w:tc>
          <w:tcPr>
            <w:tcW w:w="176" w:type="dxa"/>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8.9</w:t>
            </w:r>
          </w:p>
        </w:tc>
        <w:tc>
          <w:tcPr>
            <w:tcW w:w="366" w:type="dxa"/>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Adjusted EBITDA</w:t>
            </w:r>
          </w:p>
        </w:tc>
        <w:tc>
          <w:tcPr>
            <w:tcW w:w="720" w:type="dxa"/>
            <w:gridSpan w:val="2"/>
            <w:tcBorders>
              <w:top w:val="single" w:sz="4" w:space="0" w:color="000000"/>
            </w:tcBorders>
            <w:shd w:fill="D9D9D6"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6"/>
              </w:rPr>
            </w:pPr>
            <w:r>
              <w:rPr>
                <w:rFonts w:ascii="Helvetica;sans-serif" w:hAnsi="Helvetica;sans-serif"/>
                <w:b/>
                <w:color w:val="000000"/>
                <w:sz w:val="16"/>
              </w:rPr>
              <w:t>($299)</w:t>
            </w:r>
          </w:p>
        </w:tc>
        <w:tc>
          <w:tcPr>
            <w:tcW w:w="156" w:type="dxa"/>
            <w:tcBorders>
              <w:top w:val="single" w:sz="4" w:space="0" w:color="000000"/>
            </w:tcBorders>
            <w:shd w:fill="D9D9D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4" w:space="0" w:color="000000"/>
            </w:tcBorders>
            <w:shd w:fill="D9D9D6"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6"/>
              </w:rPr>
            </w:pPr>
            <w:r>
              <w:rPr>
                <w:rFonts w:ascii="Helvetica;sans-serif" w:hAnsi="Helvetica;sans-serif"/>
                <w:b/>
                <w:color w:val="000000"/>
                <w:sz w:val="16"/>
              </w:rPr>
              <w:t>($272)</w:t>
            </w:r>
          </w:p>
        </w:tc>
        <w:tc>
          <w:tcPr>
            <w:tcW w:w="176" w:type="dxa"/>
            <w:tcBorders>
              <w:top w:val="single" w:sz="4" w:space="0" w:color="000000"/>
            </w:tcBorders>
            <w:shd w:fill="D9D9D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op w:val="single" w:sz="4" w:space="0" w:color="000000"/>
            </w:tcBorders>
            <w:shd w:fill="D9D9D6"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6"/>
              </w:rPr>
            </w:pPr>
            <w:r>
              <w:rPr>
                <w:rFonts w:ascii="Helvetica;sans-serif" w:hAnsi="Helvetica;sans-serif"/>
                <w:b/>
                <w:color w:val="000000"/>
                <w:sz w:val="16"/>
              </w:rPr>
              <w:t>(9.7</w:t>
            </w:r>
          </w:p>
        </w:tc>
        <w:tc>
          <w:tcPr>
            <w:tcW w:w="366" w:type="dxa"/>
            <w:tcBorders>
              <w:top w:val="single" w:sz="4" w:space="0" w:color="000000"/>
            </w:tcBorders>
            <w:shd w:fill="D9D9D6"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Eliminations</w:t>
            </w:r>
          </w:p>
        </w:tc>
        <w:tc>
          <w:tcPr>
            <w:tcW w:w="876"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Revenue</w:t>
            </w:r>
          </w:p>
        </w:tc>
        <w:tc>
          <w:tcPr>
            <w:tcW w:w="720"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($1,242)</w:t>
            </w:r>
          </w:p>
        </w:tc>
        <w:tc>
          <w:tcPr>
            <w:tcW w:w="156" w:type="dxa"/>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($1,273)</w:t>
            </w:r>
          </w:p>
        </w:tc>
        <w:tc>
          <w:tcPr>
            <w:tcW w:w="176" w:type="dxa"/>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(2.5</w:t>
            </w:r>
          </w:p>
        </w:tc>
        <w:tc>
          <w:tcPr>
            <w:tcW w:w="366" w:type="dxa"/>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Operating Expenses</w:t>
            </w:r>
          </w:p>
        </w:tc>
        <w:tc>
          <w:tcPr>
            <w:tcW w:w="720"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(1,260)</w:t>
            </w:r>
          </w:p>
        </w:tc>
        <w:tc>
          <w:tcPr>
            <w:tcW w:w="156" w:type="dxa"/>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(1,254)</w:t>
            </w:r>
          </w:p>
        </w:tc>
        <w:tc>
          <w:tcPr>
            <w:tcW w:w="176" w:type="dxa"/>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0.5</w:t>
            </w:r>
          </w:p>
        </w:tc>
        <w:tc>
          <w:tcPr>
            <w:tcW w:w="366" w:type="dxa"/>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Adjusted EBITDA</w:t>
            </w:r>
          </w:p>
        </w:tc>
        <w:tc>
          <w:tcPr>
            <w:tcW w:w="720" w:type="dxa"/>
            <w:gridSpan w:val="2"/>
            <w:tcBorders>
              <w:top w:val="single" w:sz="4" w:space="0" w:color="000000"/>
            </w:tcBorders>
            <w:shd w:fill="D9D9D6"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6"/>
              </w:rPr>
              <w:t>$18</w:t>
            </w:r>
            <w:r>
              <w:rPr>
                <w:color w:val="000000"/>
              </w:rPr>
              <w:t> </w:t>
            </w:r>
          </w:p>
        </w:tc>
        <w:tc>
          <w:tcPr>
            <w:tcW w:w="156" w:type="dxa"/>
            <w:tcBorders>
              <w:top w:val="single" w:sz="4" w:space="0" w:color="000000"/>
            </w:tcBorders>
            <w:shd w:fill="D9D9D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4" w:space="0" w:color="000000"/>
            </w:tcBorders>
            <w:shd w:fill="D9D9D6"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6"/>
              </w:rPr>
            </w:pPr>
            <w:r>
              <w:rPr>
                <w:rFonts w:ascii="Helvetica;sans-serif" w:hAnsi="Helvetica;sans-serif"/>
                <w:b/>
                <w:color w:val="000000"/>
                <w:sz w:val="16"/>
              </w:rPr>
              <w:t>($19)</w:t>
            </w:r>
          </w:p>
        </w:tc>
        <w:tc>
          <w:tcPr>
            <w:tcW w:w="176" w:type="dxa"/>
            <w:tcBorders>
              <w:top w:val="single" w:sz="4" w:space="0" w:color="000000"/>
            </w:tcBorders>
            <w:shd w:fill="D9D9D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op w:val="single" w:sz="4" w:space="0" w:color="000000"/>
            </w:tcBorders>
            <w:shd w:fill="D9D9D6"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6"/>
              </w:rPr>
            </w:pPr>
            <w:r>
              <w:rPr>
                <w:rFonts w:ascii="Helvetica;sans-serif" w:hAnsi="Helvetica;sans-serif"/>
                <w:b/>
                <w:color w:val="000000"/>
                <w:sz w:val="16"/>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NM=comparison not meaningful.</w:t>
            </w:r>
          </w:p>
        </w:tc>
        <w:tc>
          <w:tcPr>
            <w:tcW w:w="876"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2445"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7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56" w:before="0" w:after="40"/>
        <w:jc w:val="both"/>
        <w:rPr>
          <w:rFonts w:ascii="Helvetica;sans-serif" w:hAnsi="Helvetica;sans-serif"/>
          <w:b w:val="false"/>
          <w:color w:val="000000"/>
          <w:sz w:val="16"/>
        </w:rPr>
      </w:pPr>
      <w:r>
        <w:rPr>
          <w:rFonts w:ascii="Helvetica;sans-serif" w:hAnsi="Helvetica;sans-serif"/>
          <w:b w:val="false"/>
          <w:color w:val="000000"/>
          <w:sz w:val="16"/>
        </w:rPr>
        <w:t xml:space="preserve">Amounts for 2025 exclude the impacts of Versant and our Sky operations in Germany. Amounts for 2026 exclude the impacts of our Sky operations in Germany through the date of sale. See Table 8 for the reconciliation to consolidated results. </w:t>
      </w:r>
    </w:p>
    <w:p>
      <w:pPr>
        <w:pStyle w:val="TextBody"/>
        <w:bidi w:val="0"/>
        <w:spacing w:before="0" w:after="40"/>
        <w:jc w:val="both"/>
        <w:rPr/>
      </w:pPr>
      <w:r>
        <w:rPr/>
      </w:r>
    </w:p>
    <w:p>
      <w:pPr>
        <w:pStyle w:val="TextBody"/>
        <w:bidi w:val="0"/>
        <w:spacing w:lineRule="auto" w:line="288" w:before="0" w:after="0"/>
        <w:jc w:val="both"/>
        <w:rPr>
          <w:rFonts w:ascii="Helvetica;sans-serif" w:hAnsi="Helvetica;sans-serif"/>
          <w:b/>
          <w:color w:val="000000"/>
          <w:sz w:val="20"/>
        </w:rPr>
      </w:pPr>
      <w:r>
        <w:rPr>
          <w:rFonts w:ascii="Helvetica;sans-serif" w:hAnsi="Helvetica;sans-serif"/>
          <w:b/>
          <w:color w:val="000000"/>
          <w:sz w:val="20"/>
        </w:rPr>
        <w:t>Corporate &amp; Other</w:t>
      </w:r>
    </w:p>
    <w:p>
      <w:pPr>
        <w:pStyle w:val="TextBody"/>
        <w:bidi w:val="0"/>
        <w:spacing w:before="0" w:after="0"/>
        <w:jc w:val="both"/>
        <w:rPr/>
      </w:pPr>
      <w:r>
        <w:rPr/>
      </w:r>
    </w:p>
    <w:p>
      <w:pPr>
        <w:pStyle w:val="TextBody"/>
        <w:bidi w:val="0"/>
        <w:spacing w:lineRule="auto" w:line="288" w:before="0" w:after="0"/>
        <w:jc w:val="both"/>
        <w:rPr>
          <w:rFonts w:ascii="Helvetica;sans-serif" w:hAnsi="Helvetica;sans-serif"/>
          <w:b w:val="false"/>
          <w:color w:val="000000"/>
          <w:sz w:val="20"/>
        </w:rPr>
      </w:pPr>
      <w:r>
        <w:rPr>
          <w:rFonts w:ascii="Helvetica;sans-serif" w:hAnsi="Helvetica;sans-serif"/>
          <w:b w:val="false"/>
          <w:color w:val="000000"/>
          <w:sz w:val="20"/>
        </w:rPr>
        <w:t>Corporate &amp; Other primarily includes overhead and personnel costs; our regional sports networks; and Comcast Spectacor, which owns the Philadelphia Flyers and the Xfinity Mobile Arena in Philadelphia, Pennsylvania. Corporate &amp; Other Adjusted EBITDA decreased primarily reflecting lower revenue associated with our regional sports networks.</w:t>
      </w:r>
    </w:p>
    <w:p>
      <w:pPr>
        <w:pStyle w:val="TextBody"/>
        <w:bidi w:val="0"/>
        <w:spacing w:before="0" w:after="0"/>
        <w:jc w:val="both"/>
        <w:rPr/>
      </w:pPr>
      <w:r>
        <w:rPr/>
      </w:r>
    </w:p>
    <w:p>
      <w:pPr>
        <w:pStyle w:val="TextBody"/>
        <w:bidi w:val="0"/>
        <w:spacing w:lineRule="auto" w:line="288" w:before="0" w:after="0"/>
        <w:jc w:val="both"/>
        <w:rPr>
          <w:rFonts w:ascii="Helvetica;sans-serif" w:hAnsi="Helvetica;sans-serif"/>
          <w:b/>
          <w:color w:val="000000"/>
          <w:sz w:val="20"/>
        </w:rPr>
      </w:pPr>
      <w:r>
        <w:rPr>
          <w:rFonts w:ascii="Helvetica;sans-serif" w:hAnsi="Helvetica;sans-serif"/>
          <w:b/>
          <w:color w:val="000000"/>
          <w:sz w:val="20"/>
        </w:rPr>
        <w:t>Eliminations</w:t>
      </w:r>
    </w:p>
    <w:p>
      <w:pPr>
        <w:pStyle w:val="TextBody"/>
        <w:bidi w:val="0"/>
        <w:spacing w:before="0" w:after="0"/>
        <w:jc w:val="both"/>
        <w:rPr/>
      </w:pPr>
      <w:r>
        <w:rPr/>
      </w:r>
    </w:p>
    <w:p>
      <w:pPr>
        <w:pStyle w:val="TextBody"/>
        <w:bidi w:val="0"/>
        <w:spacing w:lineRule="auto" w:line="288"/>
        <w:jc w:val="both"/>
        <w:rPr>
          <w:rFonts w:ascii="Helvetica;sans-serif" w:hAnsi="Helvetica;sans-serif"/>
          <w:b w:val="false"/>
          <w:color w:val="000000"/>
          <w:sz w:val="20"/>
        </w:rPr>
      </w:pPr>
      <w:r>
        <w:rPr>
          <w:rFonts w:ascii="Helvetica;sans-serif" w:hAnsi="Helvetica;sans-serif"/>
          <w:b w:val="false"/>
          <w:color w:val="000000"/>
          <w:sz w:val="20"/>
        </w:rPr>
        <w:t>Amounts represent eliminations of transactions between Connectivity &amp; Platforms, Content &amp; Experiences and other businesses, the most significant being distribution of television network programming between the Media and Residential Connectivity &amp; Platforms segments. Revenue eliminations were $1.2 billion, compared to $1.3 billion in the prior year period, and Adjusted EBITDA eliminations were a benefit of $18 million compared to a loss of $19 million in the prior year period.</w:t>
      </w: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16840"/>
                <wp:effectExtent l="0" t="0" r="0" b="0"/>
                <wp:wrapNone/>
                <wp:docPr id="11" name="Frame1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16"/>
                              </w:rPr>
                            </w:pPr>
                            <w:r>
                              <w:rPr>
                                <w:rFonts w:ascii="Helvetica;sans-serif" w:hAnsi="Helvetica;sans-serif"/>
                                <w:b w:val="false"/>
                                <w:color w:val="000000"/>
                                <w:sz w:val="16"/>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16"/>
                        </w:rPr>
                      </w:pPr>
                      <w:r>
                        <w:rPr>
                          <w:rFonts w:ascii="Helvetica;sans-serif" w:hAnsi="Helvetica;sans-serif"/>
                          <w:b w:val="false"/>
                          <w:color w:val="000000"/>
                          <w:sz w:val="16"/>
                        </w:rPr>
                        <w:t>7</w:t>
                      </w:r>
                    </w:p>
                  </w:txbxContent>
                </v:textbox>
                <w10:wrap type="none"/>
              </v:rect>
            </w:pict>
          </mc:Fallback>
        </mc:AlternateConten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top w:val="single" w:sz="8" w:space="0" w:color="D9D9D6"/>
            </w:tcBorders>
            <w:tcMar>
              <w:top w:w="30" w:type="dxa"/>
              <w:left w:w="0" w:type="dxa"/>
              <w:bottom w:w="0" w:type="dxa"/>
              <w:right w:w="0" w:type="dxa"/>
            </w:tcMar>
            <w:vAlign w:val="center"/>
          </w:tcPr>
          <w:p>
            <w:pPr>
              <w:pStyle w:val="TableContents"/>
              <w:bidi w:val="0"/>
              <w:spacing w:lineRule="auto" w:line="240" w:before="0" w:after="283"/>
              <w:jc w:val="both"/>
              <w:rPr>
                <w:rFonts w:ascii="Helvetica;sans-serif" w:hAnsi="Helvetica;sans-serif"/>
                <w:b/>
                <w:color w:val="000000"/>
                <w:sz w:val="20"/>
              </w:rPr>
            </w:pPr>
            <w:r>
              <w:rPr>
                <w:rFonts w:ascii="Helvetica;sans-serif" w:hAnsi="Helvetica;sans-serif"/>
                <w:b/>
                <w:color w:val="000000"/>
                <w:sz w:val="20"/>
              </w:rPr>
              <w:t>Notes:</w:t>
            </w:r>
          </w:p>
        </w:tc>
      </w:tr>
    </w:tbl>
    <w:p>
      <w:pPr>
        <w:pStyle w:val="TextBody"/>
        <w:bidi w:val="0"/>
        <w:spacing w:lineRule="auto" w:line="288" w:before="0" w:after="180"/>
        <w:ind w:left="0" w:right="0" w:hanging="180"/>
        <w:jc w:val="both"/>
        <w:rPr>
          <w:rFonts w:ascii="Helvetica;sans-serif" w:hAnsi="Helvetica;sans-serif"/>
          <w:b w:val="false"/>
          <w:color w:val="000000"/>
          <w:sz w:val="20"/>
        </w:rPr>
      </w:pPr>
      <w:r>
        <w:rPr>
          <w:rFonts w:ascii="Helvetica;sans-serif" w:hAnsi="Helvetica;sans-serif"/>
          <w:b w:val="false"/>
          <w:color w:val="000000"/>
          <w:sz w:val="20"/>
        </w:rPr>
        <w:t>1Certain financial information is presented on a pro forma basis in connection with the separation of Versant, which was completed on January 2, 2026 (the “Versant Separation”), and the sale of our Sky operations in Germany, which was completed on May 31, 2026 (the "Sale"). The pro forma financial measures are non-GAAP financial measures and are presented as if the Versant Separation and the Sale had both occurred on January 1, 2024. The pro forma information is primarily based on historical results of operations and includes pro forma adjustments in accordance with Article 11 of Regulation S-X that are directly attributable to the Versant Separation and the Sale. For the Versant Separation, this includes adjustments related to the commercial services agreement for the sale and use of Versant’s advertising and promotional inventory. This pro forma information is not necessarily indicative of future results. See Table 8 for reconciliations of non-GAAP financial measures.</w:t>
      </w:r>
    </w:p>
    <w:p>
      <w:pPr>
        <w:pStyle w:val="TextBody"/>
        <w:bidi w:val="0"/>
        <w:spacing w:lineRule="auto" w:line="288" w:before="0" w:after="180"/>
        <w:ind w:left="0" w:right="0" w:hanging="180"/>
        <w:jc w:val="both"/>
        <w:rPr>
          <w:rFonts w:ascii="Helvetica;sans-serif" w:hAnsi="Helvetica;sans-serif"/>
          <w:b w:val="false"/>
          <w:color w:val="000000"/>
          <w:sz w:val="20"/>
        </w:rPr>
      </w:pPr>
      <w:r>
        <w:rPr>
          <w:rFonts w:ascii="Helvetica;sans-serif" w:hAnsi="Helvetica;sans-serif"/>
          <w:b w:val="false"/>
          <w:color w:val="000000"/>
          <w:sz w:val="20"/>
        </w:rPr>
        <w:t xml:space="preserve">2We define Adjusted Net Income and Adjusted EPS as net income attributable to Comcast Corporation and diluted earnings per common share attributable to Comcast Corporation shareholders, respectively, adjusted to exclude the effects of the amortization of acquisition-related intangible assets, investments that investors may want to evaluate separately (such as based on fair value) and the impact of certain events, gains, losses or other charges that affect period-over-period comparisons. See Table 5 for reconciliations of non-GAAP financial measures. </w:t>
      </w:r>
    </w:p>
    <w:p>
      <w:pPr>
        <w:pStyle w:val="TextBody"/>
        <w:bidi w:val="0"/>
        <w:spacing w:lineRule="auto" w:line="288" w:before="0" w:after="180"/>
        <w:ind w:left="0" w:right="0" w:hanging="180"/>
        <w:jc w:val="both"/>
        <w:rPr>
          <w:rFonts w:ascii="Helvetica;sans-serif" w:hAnsi="Helvetica;sans-serif"/>
          <w:b w:val="false"/>
          <w:color w:val="000000"/>
          <w:sz w:val="20"/>
        </w:rPr>
      </w:pPr>
      <w:r>
        <w:rPr>
          <w:rFonts w:ascii="Helvetica;sans-serif" w:hAnsi="Helvetica;sans-serif"/>
          <w:b w:val="false"/>
          <w:color w:val="000000"/>
          <w:sz w:val="20"/>
        </w:rPr>
        <w:t xml:space="preserve">3We define Adjusted EBITDA as net income attributable to Comcast Corporation before net income (loss) attributable to noncontrolling interests, income tax expense, investment and other income (loss), net, interest expense, depreciation and amortization expense, and other operating gains and losses (such as impairment charges related to fixed and intangible assets and gains or losses on the sale of long-lived assets), if any. From time to time, we may exclude from Adjusted EBITDA the impact of certain events, gains, losses or other charges (such as significant legal settlements) that affect the period-to-period comparability of our operating performance. See Table 4 for reconciliation of non-GAAP financial measure. </w:t>
      </w:r>
    </w:p>
    <w:p>
      <w:pPr>
        <w:pStyle w:val="TextBody"/>
        <w:bidi w:val="0"/>
        <w:spacing w:lineRule="auto" w:line="288" w:before="0" w:after="180"/>
        <w:ind w:left="0" w:right="0" w:hanging="180"/>
        <w:jc w:val="both"/>
        <w:rPr>
          <w:rFonts w:ascii="Helvetica;sans-serif" w:hAnsi="Helvetica;sans-serif"/>
          <w:b w:val="false"/>
          <w:color w:val="000000"/>
          <w:sz w:val="20"/>
        </w:rPr>
      </w:pPr>
      <w:r>
        <w:rPr>
          <w:rFonts w:ascii="Helvetica;sans-serif" w:hAnsi="Helvetica;sans-serif"/>
          <w:b w:val="false"/>
          <w:color w:val="000000"/>
          <w:sz w:val="20"/>
        </w:rPr>
        <w:t xml:space="preserve">4All earnings per share amounts are presented on a diluted basis. </w:t>
      </w:r>
    </w:p>
    <w:p>
      <w:pPr>
        <w:pStyle w:val="TextBody"/>
        <w:bidi w:val="0"/>
        <w:spacing w:lineRule="auto" w:line="288" w:before="0" w:after="180"/>
        <w:ind w:left="0" w:right="0" w:hanging="180"/>
        <w:jc w:val="both"/>
        <w:rPr>
          <w:rFonts w:ascii="Helvetica;sans-serif" w:hAnsi="Helvetica;sans-serif"/>
          <w:b w:val="false"/>
          <w:color w:val="000000"/>
          <w:sz w:val="20"/>
        </w:rPr>
      </w:pPr>
      <w:r>
        <w:rPr>
          <w:rFonts w:ascii="Helvetica;sans-serif" w:hAnsi="Helvetica;sans-serif"/>
          <w:b w:val="false"/>
          <w:color w:val="000000"/>
          <w:sz w:val="20"/>
        </w:rPr>
        <w:t xml:space="preserve">5We define Free Cash Flow as net cash provided by operating activities (as stated in our Consolidated Statement of Cash Flows) reduced by capital expenditures and cash paid for intangible assets. From time to time, we may exclude from Free Cash Flow the impact of certain cash receipts or payments (such as significant legal settlements) that affect period-to-period comparability. Cash payments related to certain capital or intangible assets, such as the construction of Universal Beijing Resort, are presented separately in our Consolidated Statement of Cash Flows and are therefore excluded from capital expenditures and cash paid for intangible assets for Free Cash Flow. See Table 4 for reconciliation of non-GAAP financial measure. </w:t>
      </w:r>
    </w:p>
    <w:p>
      <w:pPr>
        <w:pStyle w:val="TextBody"/>
        <w:bidi w:val="0"/>
        <w:spacing w:lineRule="auto" w:line="288" w:before="0" w:after="180"/>
        <w:ind w:left="0" w:right="0" w:hanging="180"/>
        <w:jc w:val="both"/>
        <w:rPr>
          <w:rFonts w:ascii="Helvetica;sans-serif" w:hAnsi="Helvetica;sans-serif"/>
          <w:b w:val="false"/>
          <w:color w:val="000000"/>
          <w:sz w:val="20"/>
        </w:rPr>
      </w:pPr>
      <w:r>
        <w:rPr>
          <w:rFonts w:ascii="Helvetica;sans-serif" w:hAnsi="Helvetica;sans-serif"/>
          <w:b w:val="false"/>
          <w:color w:val="000000"/>
          <w:sz w:val="20"/>
        </w:rPr>
        <w:t>6Beginning in the first quarter of 2026, we updated the composition of our segments to align with the segment-level information that is regularly provided to our chief operating decision maker, including (1) adjusting the Media segment to exclude the historical results of Versant; (2) reclassifying the results of our regional sports networks to Corporate and other from the Media segment; (3) reclassifying the results of Xumo, our streaming platform joint venture with Charter Communications, to the Residential Connectivity &amp; Platforms segment from Corporate and other; (4) reclassifying certain shared expenses into the related Media, Studios and Theme Parks segments from Content &amp; Experiences Headquarters &amp; Other; and (5) adjusting the Media segment and Versant for the effects of our commercial services agreement. Prior periods have been reclassified to reflect the current year presentation.</w:t>
      </w:r>
    </w:p>
    <w:p>
      <w:pPr>
        <w:pStyle w:val="TextBody"/>
        <w:bidi w:val="0"/>
        <w:spacing w:lineRule="auto" w:line="288" w:before="0" w:after="180"/>
        <w:ind w:left="0" w:right="0" w:hanging="180"/>
        <w:jc w:val="both"/>
        <w:rPr>
          <w:rFonts w:ascii="Helvetica;sans-serif" w:hAnsi="Helvetica;sans-serif"/>
          <w:b w:val="false"/>
          <w:color w:val="000000"/>
          <w:sz w:val="20"/>
        </w:rPr>
      </w:pPr>
      <w:r>
        <w:rPr>
          <w:rFonts w:ascii="Helvetica;sans-serif" w:hAnsi="Helvetica;sans-serif"/>
          <w:b w:val="false"/>
          <w:color w:val="000000"/>
          <w:sz w:val="20"/>
        </w:rPr>
        <w:t>7Constant currency growth rates are calculated by comparing the results for each comparable prior year period adjusted to reflect the average exchange rates from each current year period presented rather than the actual exchange rates that were in effect during the respective periods. See Table 6 for reconciliations of non-GAAP financial measures.</w:t>
      </w:r>
    </w:p>
    <w:p>
      <w:pPr>
        <w:pStyle w:val="TextBody"/>
        <w:bidi w:val="0"/>
        <w:spacing w:lineRule="auto" w:line="288" w:before="0" w:after="180"/>
        <w:ind w:left="0" w:right="0" w:hanging="180"/>
        <w:jc w:val="both"/>
        <w:rPr>
          <w:rFonts w:ascii="Helvetica;sans-serif" w:hAnsi="Helvetica;sans-serif"/>
          <w:b w:val="false"/>
          <w:color w:val="000000"/>
          <w:sz w:val="20"/>
        </w:rPr>
      </w:pPr>
      <w:r>
        <w:rPr>
          <w:rFonts w:ascii="Helvetica;sans-serif" w:hAnsi="Helvetica;sans-serif"/>
          <w:b w:val="false"/>
          <w:color w:val="000000"/>
          <w:sz w:val="20"/>
        </w:rPr>
        <w:t>8Residential Connectivity &amp; Platforms customer relationships and International Residential Connectivity &amp; Platforms customer relationships were updated in the first quarter of 2026 due to a conforming change in methodology, resulting in a decrease of 125,000 customers. There was no impact to net additions and information for all periods have been recast on a comparable basis.</w:t>
      </w:r>
    </w:p>
    <w:p>
      <w:pPr>
        <w:pStyle w:val="TextBody"/>
        <w:bidi w:val="0"/>
        <w:spacing w:lineRule="auto" w:line="288" w:before="0" w:after="180"/>
        <w:ind w:left="0" w:right="0" w:hanging="180"/>
        <w:jc w:val="both"/>
        <w:rPr>
          <w:rFonts w:ascii="Helvetica;sans-serif" w:hAnsi="Helvetica;sans-serif"/>
          <w:b w:val="false"/>
          <w:color w:val="000000"/>
          <w:sz w:val="20"/>
        </w:rPr>
      </w:pPr>
      <w:r>
        <w:rPr>
          <w:rFonts w:ascii="Helvetica;sans-serif" w:hAnsi="Helvetica;sans-serif"/>
          <w:b w:val="false"/>
          <w:color w:val="000000"/>
          <w:sz w:val="20"/>
        </w:rPr>
        <w:t xml:space="preserve">9Beginning in the first quarter of 2026, commission revenue from the sale of certain direct to consumer (“DTC”) streaming services is presented in domestic broadband revenue or video revenue based on whether a customer is entitled to receive the DTC streaming service through a broadband or video service offering. Domestic broadband revenue also includes revenue from streaming devices available </w:t>
      </w: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16840"/>
                <wp:effectExtent l="0" t="0" r="0" b="0"/>
                <wp:wrapNone/>
                <wp:docPr id="12" name="Frame1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16"/>
                              </w:rPr>
                            </w:pPr>
                            <w:r>
                              <w:rPr>
                                <w:rFonts w:ascii="Helvetica;sans-serif" w:hAnsi="Helvetica;sans-serif"/>
                                <w:b w:val="false"/>
                                <w:color w:val="000000"/>
                                <w:sz w:val="16"/>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16"/>
                        </w:rPr>
                      </w:pPr>
                      <w:r>
                        <w:rPr>
                          <w:rFonts w:ascii="Helvetica;sans-serif" w:hAnsi="Helvetica;sans-serif"/>
                          <w:b w:val="false"/>
                          <w:color w:val="000000"/>
                          <w:sz w:val="16"/>
                        </w:rPr>
                        <w:t>8</w:t>
                      </w:r>
                    </w:p>
                  </w:txbxContent>
                </v:textbox>
                <w10:wrap type="none"/>
              </v:rect>
            </w:pict>
          </mc:Fallback>
        </mc:AlternateConten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to our broadband customers. Previously, all of these amounts were in video revenue. Prior periods have been reclassified to reflect the current year presentation.</w:t>
      </w:r>
    </w:p>
    <w:p>
      <w:pPr>
        <w:pStyle w:val="TextBody"/>
        <w:bidi w:val="0"/>
        <w:spacing w:lineRule="auto" w:line="288" w:before="0" w:after="180"/>
        <w:ind w:left="0" w:right="0" w:hanging="270"/>
        <w:jc w:val="both"/>
        <w:rPr>
          <w:rFonts w:ascii="Helvetica;sans-serif" w:hAnsi="Helvetica;sans-serif"/>
          <w:b w:val="false"/>
          <w:color w:val="000000"/>
          <w:sz w:val="20"/>
        </w:rPr>
      </w:pPr>
      <w:r>
        <w:rPr>
          <w:rFonts w:ascii="Helvetica;sans-serif" w:hAnsi="Helvetica;sans-serif"/>
          <w:b w:val="false"/>
          <w:color w:val="000000"/>
          <w:sz w:val="20"/>
        </w:rPr>
        <w:t>10From time to time, we may present adjusted information (e.g., Adjusted Revenues) to exclude the impact of certain events, gains, losses or other charges affecting period-to-period comparability of our operating performance. See Table 7 for reconciliations of non-GAAP financial measures.</w:t>
      </w:r>
    </w:p>
    <w:p>
      <w:pPr>
        <w:pStyle w:val="TextBody"/>
        <w:bidi w:val="0"/>
        <w:spacing w:lineRule="auto" w:line="288" w:before="0" w:after="180"/>
        <w:ind w:left="0" w:right="0" w:hanging="270"/>
        <w:jc w:val="both"/>
        <w:rPr>
          <w:rFonts w:ascii="Helvetica;sans-serif" w:hAnsi="Helvetica;sans-serif"/>
          <w:b w:val="false"/>
          <w:color w:val="000000"/>
          <w:sz w:val="20"/>
        </w:rPr>
      </w:pPr>
      <w:r>
        <w:rPr>
          <w:rFonts w:ascii="Helvetica;sans-serif" w:hAnsi="Helvetica;sans-serif"/>
          <w:b w:val="false"/>
          <w:color w:val="000000"/>
          <w:sz w:val="20"/>
        </w:rPr>
        <w:t>11Adjusted EBITDA is the measure of profit or loss for our segments. From time to time, we may present Adjusted EBITDA for components of our reportable segments, such as Peacock. We believe these measures are useful to evaluate our financial results and provide a basis of comparison to others, although our definition of Adjusted EBITDA may not be directly comparable to similar measures used by other companies. Adjusted EBITDA for components are presented on a consistent basis with the respective segments and disaggregated in accordance with GAAP.</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Numerical information is presented on a rounded basis using actual amounts, unless otherwise noted. The change in Peacock paid subscribers is calculated using rounded paid subscriber amounts. Minor differences in totals and percentage calculations may exist due to rounding.</w:t>
      </w:r>
    </w:p>
    <w:p>
      <w:pPr>
        <w:pStyle w:val="TextBody"/>
        <w:bidi w:val="0"/>
        <w:spacing w:lineRule="auto" w:line="288" w:before="0" w:after="180"/>
        <w:jc w:val="both"/>
        <w:rPr>
          <w:rFonts w:ascii="Helvetica;sans-serif" w:hAnsi="Helvetica;sans-serif"/>
          <w:b/>
          <w:color w:val="000000"/>
          <w:sz w:val="18"/>
        </w:rPr>
      </w:pPr>
      <w:r>
        <w:rPr>
          <w:rFonts w:ascii="Helvetica;sans-serif" w:hAnsi="Helvetica;sans-serif"/>
          <w:b/>
          <w:color w:val="000000"/>
          <w:sz w:val="18"/>
        </w:rPr>
        <w:t>Conference Call and Other Information</w:t>
      </w:r>
    </w:p>
    <w:p>
      <w:pPr>
        <w:pStyle w:val="TextBody"/>
        <w:bidi w:val="0"/>
        <w:spacing w:lineRule="auto" w:line="288" w:before="0" w:after="0"/>
        <w:jc w:val="both"/>
        <w:rPr/>
      </w:pPr>
      <w:r>
        <w:rPr>
          <w:rFonts w:ascii="Helvetica;sans-serif" w:hAnsi="Helvetica;sans-serif"/>
          <w:b w:val="false"/>
          <w:color w:val="000000"/>
          <w:sz w:val="18"/>
        </w:rPr>
        <w:t xml:space="preserve">Comcast Corporation will host a conference call with the financial community today, October 22, 2026, at 8:30 a.m. Eastern Time (ET). The conference call and related materials will be broadcast live and posted on our Investor Relations website at </w:t>
      </w:r>
      <w:r>
        <w:rPr>
          <w:rFonts w:ascii="Helvetica;sans-serif" w:hAnsi="Helvetica;sans-serif"/>
          <w:b w:val="false"/>
          <w:color w:val="0000FF"/>
          <w:sz w:val="18"/>
          <w:u w:val="single"/>
        </w:rPr>
        <w:t>www.cmcsa.com</w:t>
      </w:r>
      <w:r>
        <w:rPr>
          <w:rFonts w:ascii="Helvetica;sans-serif" w:hAnsi="Helvetica;sans-serif"/>
          <w:b w:val="false"/>
          <w:color w:val="000000"/>
          <w:sz w:val="18"/>
        </w:rPr>
        <w:t>. A replay of the call will be available today, October 22, 2026, starting at 11:30 a.m. ET on the Investor Relations website.</w:t>
      </w:r>
    </w:p>
    <w:p>
      <w:pPr>
        <w:pStyle w:val="TextBody"/>
        <w:bidi w:val="0"/>
        <w:spacing w:before="0" w:after="0"/>
        <w:jc w:val="both"/>
        <w:rPr/>
      </w:pPr>
      <w:r>
        <w:rPr/>
      </w:r>
    </w:p>
    <w:p>
      <w:pPr>
        <w:pStyle w:val="TextBody"/>
        <w:bidi w:val="0"/>
        <w:spacing w:lineRule="auto" w:line="288" w:before="0" w:after="0"/>
        <w:jc w:val="both"/>
        <w:rPr/>
      </w:pPr>
      <w:r>
        <w:rPr>
          <w:rFonts w:ascii="Helvetica;sans-serif" w:hAnsi="Helvetica;sans-serif"/>
          <w:b w:val="false"/>
          <w:color w:val="000000"/>
          <w:sz w:val="18"/>
        </w:rPr>
        <w:t xml:space="preserve">From time to time, we post information that may be of interest to investors on our website at </w:t>
      </w:r>
      <w:r>
        <w:rPr>
          <w:rFonts w:ascii="Helvetica;sans-serif" w:hAnsi="Helvetica;sans-serif"/>
          <w:b w:val="false"/>
          <w:color w:val="0000FF"/>
          <w:sz w:val="18"/>
          <w:u w:val="single"/>
        </w:rPr>
        <w:t>www.cmcsa.com</w:t>
      </w:r>
      <w:r>
        <w:rPr>
          <w:color w:val="000000"/>
        </w:rPr>
        <w:t xml:space="preserve"> </w:t>
      </w:r>
      <w:r>
        <w:rPr>
          <w:rFonts w:ascii="Helvetica;sans-serif" w:hAnsi="Helvetica;sans-serif"/>
          <w:b w:val="false"/>
          <w:color w:val="000000"/>
          <w:sz w:val="18"/>
        </w:rPr>
        <w:t xml:space="preserve">and on our corporate website, </w:t>
      </w:r>
      <w:r>
        <w:rPr>
          <w:rFonts w:ascii="Helvetica;sans-serif" w:hAnsi="Helvetica;sans-serif"/>
          <w:b w:val="false"/>
          <w:color w:val="0000FF"/>
          <w:sz w:val="18"/>
          <w:u w:val="single"/>
        </w:rPr>
        <w:t>www.comcastcorporation.com</w:t>
      </w:r>
      <w:r>
        <w:rPr>
          <w:rFonts w:ascii="Helvetica;sans-serif" w:hAnsi="Helvetica;sans-serif"/>
          <w:b w:val="false"/>
          <w:color w:val="000000"/>
          <w:sz w:val="18"/>
        </w:rPr>
        <w:t xml:space="preserve">. To automatically receive Comcast financial news by email, please visit </w:t>
      </w:r>
      <w:r>
        <w:rPr>
          <w:rFonts w:ascii="Helvetica;sans-serif" w:hAnsi="Helvetica;sans-serif"/>
          <w:b w:val="false"/>
          <w:color w:val="0000FF"/>
          <w:sz w:val="18"/>
          <w:u w:val="single"/>
        </w:rPr>
        <w:t>www.cmcsa.com</w:t>
      </w:r>
      <w:r>
        <w:rPr>
          <w:color w:val="000000"/>
        </w:rPr>
        <w:t xml:space="preserve"> </w:t>
      </w:r>
      <w:r>
        <w:rPr>
          <w:rFonts w:ascii="Helvetica;sans-serif" w:hAnsi="Helvetica;sans-serif"/>
          <w:b w:val="false"/>
          <w:color w:val="000000"/>
          <w:sz w:val="18"/>
        </w:rPr>
        <w:t>and subscribe to email alerts.</w:t>
      </w:r>
    </w:p>
    <w:p>
      <w:pPr>
        <w:pStyle w:val="TextBody"/>
        <w:bidi w:val="0"/>
        <w:spacing w:lineRule="auto" w:line="288" w:before="120" w:after="283"/>
        <w:jc w:val="center"/>
        <w:rPr>
          <w:rFonts w:ascii="Helvetica;sans-serif" w:hAnsi="Helvetica;sans-serif"/>
          <w:b w:val="false"/>
          <w:color w:val="000000"/>
          <w:sz w:val="18"/>
        </w:rPr>
      </w:pPr>
      <w:r>
        <w:rPr>
          <w:rFonts w:ascii="Helvetica;sans-serif" w:hAnsi="Helvetica;sans-serif"/>
          <w:b w:val="false"/>
          <w:color w:val="000000"/>
          <w:sz w:val="18"/>
        </w:rPr>
        <w:t>###</w:t>
      </w:r>
    </w:p>
    <w:tbl>
      <w:tblPr>
        <w:tblW w:w="8979" w:type="dxa"/>
        <w:jc w:val="center"/>
        <w:tblInd w:w="0" w:type="dxa"/>
        <w:tblLayout w:type="fixed"/>
        <w:tblCellMar>
          <w:top w:w="28" w:type="dxa"/>
          <w:left w:w="28" w:type="dxa"/>
          <w:bottom w:w="28" w:type="dxa"/>
          <w:right w:w="28" w:type="dxa"/>
        </w:tblCellMar>
      </w:tblPr>
      <w:tblGrid>
        <w:gridCol w:w="619"/>
        <w:gridCol w:w="545"/>
        <w:gridCol w:w="546"/>
        <w:gridCol w:w="884"/>
        <w:gridCol w:w="884"/>
        <w:gridCol w:w="886"/>
        <w:gridCol w:w="109"/>
        <w:gridCol w:w="109"/>
        <w:gridCol w:w="109"/>
        <w:gridCol w:w="499"/>
        <w:gridCol w:w="499"/>
        <w:gridCol w:w="501"/>
        <w:gridCol w:w="816"/>
        <w:gridCol w:w="816"/>
        <w:gridCol w:w="1157"/>
      </w:tblGrid>
      <w:tr>
        <w:trPr/>
        <w:tc>
          <w:tcPr>
            <w:tcW w:w="619"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r>
      <w:tr>
        <w:trPr/>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8"/>
              </w:rPr>
            </w:pPr>
            <w:r>
              <w:rPr>
                <w:rFonts w:ascii="Helvetica;sans-serif" w:hAnsi="Helvetica;sans-serif"/>
                <w:b/>
                <w:color w:val="000000"/>
                <w:sz w:val="18"/>
              </w:rPr>
              <w:t>Investor Contacts:</w:t>
            </w:r>
          </w:p>
        </w:tc>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8"/>
              </w:rPr>
            </w:pPr>
            <w:r>
              <w:rPr>
                <w:rFonts w:ascii="Helvetica;sans-serif" w:hAnsi="Helvetica;sans-serif"/>
                <w:b/>
                <w:color w:val="000000"/>
                <w:sz w:val="18"/>
              </w:rPr>
              <w:t>Press Contacts:</w:t>
            </w:r>
          </w:p>
        </w:tc>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Marci Ryvicker</w:t>
            </w:r>
          </w:p>
        </w:tc>
        <w:tc>
          <w:tcPr>
            <w:tcW w:w="265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18"/>
              </w:rPr>
            </w:pPr>
            <w:r>
              <w:rPr>
                <w:rFonts w:ascii="Helvetica;sans-serif" w:hAnsi="Helvetica;sans-serif"/>
                <w:b w:val="false"/>
                <w:color w:val="000000"/>
                <w:sz w:val="18"/>
              </w:rPr>
              <w:t>Marci_Ryvicker@Comcast.com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Jennifer Khoury</w:t>
            </w:r>
          </w:p>
        </w:tc>
        <w:tc>
          <w:tcPr>
            <w:tcW w:w="27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18"/>
              </w:rPr>
            </w:pPr>
            <w:r>
              <w:rPr>
                <w:rFonts w:ascii="Helvetica;sans-serif" w:hAnsi="Helvetica;sans-serif"/>
                <w:b w:val="false"/>
                <w:color w:val="000000"/>
                <w:sz w:val="18"/>
              </w:rPr>
              <w:t>Jennifer_Khoury@Comcast.com</w:t>
            </w:r>
          </w:p>
        </w:tc>
      </w:tr>
      <w:tr>
        <w:trPr/>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18"/>
              </w:rPr>
            </w:pPr>
            <w:r>
              <w:rPr>
                <w:rFonts w:ascii="Helvetica;sans-serif" w:hAnsi="Helvetica;sans-serif"/>
                <w:b w:val="false"/>
                <w:color w:val="000000"/>
                <w:sz w:val="18"/>
              </w:rPr>
              <w:t>(215) 531-3296</w:t>
            </w:r>
          </w:p>
        </w:tc>
      </w:tr>
      <w:tr>
        <w:trPr/>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Jane Kearns</w:t>
            </w:r>
          </w:p>
        </w:tc>
        <w:tc>
          <w:tcPr>
            <w:tcW w:w="265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18"/>
              </w:rPr>
            </w:pPr>
            <w:r>
              <w:rPr>
                <w:rFonts w:ascii="Helvetica;sans-serif" w:hAnsi="Helvetica;sans-serif"/>
                <w:b w:val="false"/>
                <w:color w:val="000000"/>
                <w:sz w:val="18"/>
              </w:rPr>
              <w:t>Jane_Kearns@Comcast.com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John Demming</w:t>
            </w:r>
          </w:p>
        </w:tc>
        <w:tc>
          <w:tcPr>
            <w:tcW w:w="27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18"/>
              </w:rPr>
            </w:pPr>
            <w:r>
              <w:rPr>
                <w:rFonts w:ascii="Helvetica;sans-serif" w:hAnsi="Helvetica;sans-serif"/>
                <w:b w:val="false"/>
                <w:color w:val="000000"/>
                <w:sz w:val="18"/>
              </w:rPr>
              <w:t>John_Demming@Comcast.com</w:t>
            </w:r>
          </w:p>
        </w:tc>
      </w:tr>
      <w:tr>
        <w:trPr/>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18"/>
              </w:rPr>
            </w:pPr>
            <w:r>
              <w:rPr>
                <w:rFonts w:ascii="Helvetica;sans-serif" w:hAnsi="Helvetica;sans-serif"/>
                <w:b w:val="false"/>
                <w:color w:val="000000"/>
                <w:sz w:val="18"/>
              </w:rPr>
              <w:t>(215) 429-4744</w:t>
            </w:r>
          </w:p>
        </w:tc>
      </w:tr>
    </w:tbl>
    <w:p>
      <w:pPr>
        <w:pStyle w:val="TextBody"/>
        <w:bidi w:val="0"/>
        <w:spacing w:lineRule="auto" w:line="288" w:before="120" w:after="283"/>
        <w:jc w:val="center"/>
        <w:rPr>
          <w:rFonts w:ascii="Helvetica;sans-serif" w:hAnsi="Helvetica;sans-serif"/>
          <w:b w:val="false"/>
          <w:color w:val="000000"/>
          <w:sz w:val="18"/>
        </w:rPr>
      </w:pPr>
      <w:r>
        <w:rPr>
          <w:rFonts w:ascii="Helvetica;sans-serif" w:hAnsi="Helvetica;sans-serif"/>
          <w:b w:val="false"/>
          <w:color w:val="000000"/>
          <w:sz w:val="18"/>
        </w:rPr>
        <w:t>###</w:t>
      </w:r>
    </w:p>
    <w:p>
      <w:pPr>
        <w:pStyle w:val="TextBody"/>
        <w:bidi w:val="0"/>
        <w:spacing w:before="0" w:after="0"/>
        <w:jc w:val="both"/>
        <w:rPr/>
      </w:pPr>
      <w:r>
        <w:rPr/>
      </w:r>
    </w:p>
    <w:p>
      <w:pPr>
        <w:pStyle w:val="TextBody"/>
        <w:bidi w:val="0"/>
        <w:spacing w:lineRule="auto" w:line="288" w:before="0" w:after="0"/>
        <w:jc w:val="both"/>
        <w:rPr>
          <w:rFonts w:ascii="Helvetica;sans-serif" w:hAnsi="Helvetica;sans-serif"/>
          <w:b/>
          <w:color w:val="000000"/>
          <w:sz w:val="18"/>
        </w:rPr>
      </w:pPr>
      <w:r>
        <w:rPr>
          <w:rFonts w:ascii="Helvetica;sans-serif" w:hAnsi="Helvetica;sans-serif"/>
          <w:b/>
          <w:color w:val="000000"/>
          <w:sz w:val="18"/>
        </w:rPr>
        <w:t>Caution Concerning Forward-Looking Statements</w:t>
      </w:r>
    </w:p>
    <w:p>
      <w:pPr>
        <w:pStyle w:val="TextBody"/>
        <w:bidi w:val="0"/>
        <w:spacing w:lineRule="auto" w:line="288" w:before="0" w:after="0"/>
        <w:jc w:val="both"/>
        <w:rPr>
          <w:rFonts w:ascii="Helvetica;sans-serif" w:hAnsi="Helvetica;sans-serif"/>
          <w:b w:val="false"/>
          <w:color w:val="000000"/>
          <w:sz w:val="18"/>
        </w:rPr>
      </w:pPr>
      <w:r>
        <w:rPr>
          <w:rFonts w:ascii="Helvetica;sans-serif" w:hAnsi="Helvetica;sans-serif"/>
          <w:b w:val="false"/>
          <w:color w:val="000000"/>
          <w:sz w:val="18"/>
        </w:rPr>
        <w:t>This press release includes statements that may constitute forward-looking statements. In evaluating these statements, readers should consider various factors, including the risks and uncertainties we describe in the “Risk Factors” sections of our most recent Annual Report on Form 10-K, our most recent Quarterly Report on Form 10-Q and other reports filed with the Securities and Exchange Commission (SEC). Factors that could cause our actual results to differ materially from these forward-looking statements include changes in and/or risks associated with: the competitive environment; consumer behavior; the advertising market; consumer acceptance of our content; programming costs; key distribution and/or licensing agreements; use and protection of our intellectual property; our reliance on third-party hardware, software and operational support; keeping pace with technological developments; cyber attacks, security breaches or technology disruptions; weak economic conditions; acquisitions and strategic initiatives; operating businesses internationally; natural disasters, severe weather-related and other uncontrollable events; loss of key personnel; labor disputes; significant tax liability if the separation of Versant is not tax-free; laws and regulations; adverse decisions in litigation or governmental investigations; risks related to our intention to separate NBCUniversal and Sky in a spin-off; and other risks described from time to time in reports and other documents we file with the SEC. Readers are cautioned not to place undue reliance on forward-looking statements, which speak only as of the date they are made, and involve risks and uncertainties that could cause actual events or our actual results to differ materially from those expressed in any such forward-looking statements. We undertake no obligation to update or revise publicly any forward-looking statements, whether because of new information, future events or otherwise. The amount and timing of any dividends and share repurchases are subject to business, economic and other relevant factors.</w:t>
      </w:r>
    </w:p>
    <w:p>
      <w:pPr>
        <w:pStyle w:val="TextBody"/>
        <w:bidi w:val="0"/>
        <w:spacing w:before="0" w:after="0"/>
        <w:jc w:val="both"/>
        <w:rPr/>
      </w:pPr>
      <w:r>
        <w:rPr/>
      </w:r>
    </w:p>
    <w:p>
      <w:pPr>
        <w:pStyle w:val="TextBody"/>
        <w:bidi w:val="0"/>
        <w:spacing w:lineRule="auto" w:line="288" w:before="0" w:after="0"/>
        <w:jc w:val="center"/>
        <w:rPr>
          <w:rFonts w:ascii="Helvetica;sans-serif" w:hAnsi="Helvetica;sans-serif"/>
          <w:b w:val="false"/>
          <w:color w:val="000000"/>
          <w:sz w:val="18"/>
        </w:rPr>
      </w:pPr>
      <w:r>
        <w:rPr>
          <w:rFonts w:ascii="Helvetica;sans-serif" w:hAnsi="Helvetica;sans-serif"/>
          <w:b w:val="false"/>
          <w:color w:val="000000"/>
          <w:sz w:val="18"/>
        </w:rPr>
        <w:t>###</w:t>
      </w:r>
    </w:p>
    <w:p>
      <w:pPr>
        <w:pStyle w:val="TextBody"/>
        <w:bidi w:val="0"/>
        <w:spacing w:before="0" w:after="0"/>
        <w:jc w:val="both"/>
        <w:rPr/>
      </w:pPr>
      <w:r>
        <w:rPr/>
      </w:r>
    </w:p>
    <w:p>
      <w:pPr>
        <w:pStyle w:val="TextBody"/>
        <w:bidi w:val="0"/>
        <w:spacing w:lineRule="auto" w:line="288" w:before="0" w:after="0"/>
        <w:jc w:val="both"/>
        <w:rPr>
          <w:rFonts w:ascii="Helvetica;sans-serif" w:hAnsi="Helvetica;sans-serif"/>
          <w:b/>
          <w:color w:val="000000"/>
          <w:sz w:val="18"/>
        </w:rPr>
      </w:pPr>
      <w:r>
        <w:rPr>
          <w:rFonts w:ascii="Helvetica;sans-serif" w:hAnsi="Helvetica;sans-serif"/>
          <w:b/>
          <w:color w:val="000000"/>
          <w:sz w:val="18"/>
        </w:rPr>
        <w:t>Non-GAAP Financial Measures</w:t>
      </w:r>
    </w:p>
    <w:p>
      <w:pPr>
        <w:pStyle w:val="TextBody"/>
        <w:bidi w:val="0"/>
        <w:spacing w:lineRule="auto" w:line="288"/>
        <w:jc w:val="both"/>
        <w:rPr>
          <w:rFonts w:ascii="Helvetica;sans-serif" w:hAnsi="Helvetica;sans-serif"/>
          <w:b w:val="false"/>
          <w:color w:val="000000"/>
          <w:sz w:val="18"/>
        </w:rPr>
      </w:pPr>
      <w:r>
        <w:rPr>
          <w:rFonts w:ascii="Helvetica;sans-serif" w:hAnsi="Helvetica;sans-serif"/>
          <w:b w:val="false"/>
          <w:color w:val="000000"/>
          <w:sz w:val="18"/>
        </w:rPr>
        <w:t>In this discussion, we sometimes refer to financial measures that are not presented according to generally accepted accounting principles in the U.S. (GAAP). Certain of these measures are considered “non-GAAP financial measures” under the SEC regulations; those rules require the supplemental explanations and reconciliations that are in Comcast’s Form 8-K (Quarterly Earnings Release) furnished to the SEC.</w:t>
      </w: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16840"/>
                <wp:effectExtent l="0" t="0" r="0" b="0"/>
                <wp:wrapNone/>
                <wp:docPr id="13" name="Frame1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16"/>
                              </w:rPr>
                            </w:pPr>
                            <w:r>
                              <w:rPr>
                                <w:rFonts w:ascii="Helvetica;sans-serif" w:hAnsi="Helvetica;sans-serif"/>
                                <w:b w:val="false"/>
                                <w:color w:val="000000"/>
                                <w:sz w:val="16"/>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16"/>
                        </w:rPr>
                      </w:pPr>
                      <w:r>
                        <w:rPr>
                          <w:rFonts w:ascii="Helvetica;sans-serif" w:hAnsi="Helvetica;sans-serif"/>
                          <w:b w:val="false"/>
                          <w:color w:val="000000"/>
                          <w:sz w:val="16"/>
                        </w:rPr>
                        <w:t>9</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center"/>
        <w:rPr>
          <w:rFonts w:ascii="Helvetica;sans-serif" w:hAnsi="Helvetica;sans-serif"/>
          <w:b w:val="false"/>
          <w:color w:val="000000"/>
          <w:sz w:val="18"/>
        </w:rPr>
      </w:pPr>
      <w:r>
        <w:rPr>
          <w:rFonts w:ascii="Helvetica;sans-serif" w:hAnsi="Helvetica;sans-serif"/>
          <w:b w:val="false"/>
          <w:color w:val="000000"/>
          <w:sz w:val="18"/>
        </w:rPr>
        <w:t>###</w:t>
      </w:r>
    </w:p>
    <w:p>
      <w:pPr>
        <w:pStyle w:val="TextBody"/>
        <w:bidi w:val="0"/>
        <w:spacing w:before="0" w:after="0"/>
        <w:jc w:val="center"/>
        <w:rPr/>
      </w:pPr>
      <w:r>
        <w:rPr/>
      </w:r>
    </w:p>
    <w:p>
      <w:pPr>
        <w:pStyle w:val="TextBody"/>
        <w:bidi w:val="0"/>
        <w:spacing w:lineRule="auto" w:line="288" w:before="0" w:after="0"/>
        <w:jc w:val="left"/>
        <w:rPr>
          <w:rFonts w:ascii="Helvetica;sans-serif" w:hAnsi="Helvetica;sans-serif"/>
          <w:b/>
          <w:color w:val="000000"/>
          <w:sz w:val="18"/>
        </w:rPr>
      </w:pPr>
      <w:r>
        <w:rPr>
          <w:rFonts w:ascii="Helvetica;sans-serif" w:hAnsi="Helvetica;sans-serif"/>
          <w:b/>
          <w:color w:val="000000"/>
          <w:sz w:val="18"/>
        </w:rPr>
        <w:t>About Comcast Corporation</w:t>
      </w:r>
    </w:p>
    <w:p>
      <w:pPr>
        <w:pStyle w:val="TextBody"/>
        <w:bidi w:val="0"/>
        <w:spacing w:lineRule="auto" w:line="288" w:before="0" w:after="0"/>
        <w:jc w:val="both"/>
        <w:rPr>
          <w:rFonts w:ascii="Helvetica;sans-serif" w:hAnsi="Helvetica;sans-serif"/>
          <w:b w:val="false"/>
          <w:color w:val="000000"/>
          <w:sz w:val="18"/>
        </w:rPr>
      </w:pPr>
      <w:r>
        <w:rPr>
          <w:rFonts w:ascii="Helvetica;sans-serif" w:hAnsi="Helvetica;sans-serif"/>
          <w:b w:val="false"/>
          <w:color w:val="000000"/>
          <w:sz w:val="18"/>
        </w:rPr>
        <w:t>Comcast Corporation (Nasdaq: CMCSA) is a global media and technology company. From the connectivity and platforms we provide, to the content and experiences we create, our businesses reach hundreds of millions of customers, viewers, and guests worldwide. We deliver world-class broadband, wireless, and video through Xfinity, Comcast Business, and Sky; produce, distribute, and stream leading entertainment, sports, and news through brands including NBC, Telemundo, Universal, Peacock, and Sky; and bring incredible theme parks and attractions to life through Universal Destinations &amp; Experiences. Visit www.comcastcorporation.com for more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16840"/>
                <wp:effectExtent l="0" t="0" r="0" b="0"/>
                <wp:wrapNone/>
                <wp:docPr id="14" name="Frame1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16"/>
                              </w:rPr>
                            </w:pPr>
                            <w:r>
                              <w:rPr>
                                <w:rFonts w:ascii="Helvetica;sans-serif" w:hAnsi="Helvetica;sans-serif"/>
                                <w:b w:val="false"/>
                                <w:color w:val="000000"/>
                                <w:sz w:val="16"/>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16"/>
                        </w:rPr>
                      </w:pPr>
                      <w:r>
                        <w:rPr>
                          <w:rFonts w:ascii="Helvetica;sans-serif" w:hAnsi="Helvetica;sans-serif"/>
                          <w:b w:val="false"/>
                          <w:color w:val="000000"/>
                          <w:sz w:val="16"/>
                        </w:rPr>
                        <w:t>10</w:t>
                      </w:r>
                    </w:p>
                  </w:txbxContent>
                </v:textbox>
                <w10:wrap type="none"/>
              </v:rect>
            </w:pict>
          </mc:Fallback>
        </mc:AlternateContent>
      </w:r>
    </w:p>
    <w:tbl>
      <w:tblPr>
        <w:tblW w:w="8906" w:type="dxa"/>
        <w:jc w:val="left"/>
        <w:tblInd w:w="0" w:type="dxa"/>
        <w:tblLayout w:type="fixed"/>
        <w:tblCellMar>
          <w:top w:w="28" w:type="dxa"/>
          <w:left w:w="28" w:type="dxa"/>
          <w:bottom w:w="28" w:type="dxa"/>
          <w:right w:w="28" w:type="dxa"/>
        </w:tblCellMar>
      </w:tblPr>
      <w:tblGrid>
        <w:gridCol w:w="328"/>
        <w:gridCol w:w="289"/>
        <w:gridCol w:w="289"/>
        <w:gridCol w:w="289"/>
        <w:gridCol w:w="289"/>
        <w:gridCol w:w="289"/>
        <w:gridCol w:w="289"/>
        <w:gridCol w:w="289"/>
        <w:gridCol w:w="289"/>
        <w:gridCol w:w="289"/>
        <w:gridCol w:w="289"/>
        <w:gridCol w:w="289"/>
        <w:gridCol w:w="289"/>
        <w:gridCol w:w="289"/>
        <w:gridCol w:w="289"/>
        <w:gridCol w:w="289"/>
        <w:gridCol w:w="289"/>
        <w:gridCol w:w="289"/>
        <w:gridCol w:w="289"/>
        <w:gridCol w:w="289"/>
        <w:gridCol w:w="289"/>
        <w:gridCol w:w="289"/>
        <w:gridCol w:w="289"/>
        <w:gridCol w:w="289"/>
        <w:gridCol w:w="301"/>
        <w:gridCol w:w="301"/>
        <w:gridCol w:w="301"/>
        <w:gridCol w:w="301"/>
        <w:gridCol w:w="301"/>
        <w:gridCol w:w="426"/>
      </w:tblGrid>
      <w:tr>
        <w:trPr/>
        <w:tc>
          <w:tcPr>
            <w:tcW w:w="328"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r>
      <w:tr>
        <w:trPr/>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1" w:type="dxa"/>
            <w:gridSpan w:val="6"/>
            <w:vMerge w:val="restart"/>
            <w:tcBorders>
              <w:bottom w:val="single" w:sz="8" w:space="0" w:color="004EA8"/>
            </w:tcBorders>
            <w:tcMar>
              <w:top w:w="0" w:type="dxa"/>
              <w:left w:w="0" w:type="dxa"/>
              <w:right w:w="0" w:type="dxa"/>
            </w:tcMar>
            <w:vAlign w:val="center"/>
          </w:tcPr>
          <w:p>
            <w:pPr>
              <w:pStyle w:val="TableContents"/>
              <w:bidi w:val="0"/>
              <w:spacing w:before="0" w:after="0"/>
              <w:jc w:val="right"/>
              <w:rPr/>
            </w:pPr>
            <w:r>
              <w:rPr/>
              <w:drawing>
                <wp:inline distT="0" distB="0" distL="0" distR="0">
                  <wp:extent cx="1143000" cy="457200"/>
                  <wp:effectExtent l="0" t="0" r="0" b="0"/>
                  <wp:docPr id="1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2" descr=""/>
                          <pic:cNvPicPr>
                            <a:picLocks noChangeAspect="1" noChangeArrowheads="1"/>
                          </pic:cNvPicPr>
                        </pic:nvPicPr>
                        <pic:blipFill>
                          <a:blip r:embed="rId3"/>
                          <a:stretch>
                            <a:fillRect/>
                          </a:stretch>
                        </pic:blipFill>
                        <pic:spPr bwMode="auto">
                          <a:xfrm>
                            <a:off x="0" y="0"/>
                            <a:ext cx="1143000" cy="457200"/>
                          </a:xfrm>
                          <a:prstGeom prst="rect">
                            <a:avLst/>
                          </a:prstGeom>
                        </pic:spPr>
                      </pic:pic>
                    </a:graphicData>
                  </a:graphic>
                </wp:inline>
              </w:drawing>
            </w:r>
          </w:p>
        </w:tc>
      </w:tr>
      <w:tr>
        <w:trPr/>
        <w:tc>
          <w:tcPr>
            <w:tcW w:w="6108" w:type="dxa"/>
            <w:gridSpan w:val="21"/>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828282"/>
                <w:sz w:val="28"/>
              </w:rPr>
            </w:pPr>
            <w:r>
              <w:rPr>
                <w:rFonts w:ascii="Helvetica;sans-serif" w:hAnsi="Helvetica;sans-serif"/>
                <w:b/>
                <w:color w:val="828282"/>
                <w:sz w:val="28"/>
              </w:rPr>
              <w:t>TABLE 1</w:t>
            </w:r>
          </w:p>
        </w:tc>
        <w:tc>
          <w:tcPr>
            <w:tcW w:w="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1" w:type="dxa"/>
            <w:gridSpan w:val="6"/>
            <w:vMerge w:val="continue"/>
            <w:tcBorders>
              <w:bottom w:val="single" w:sz="8" w:space="0" w:color="004EA8"/>
            </w:tcBorders>
            <w:tcMar>
              <w:top w:w="0" w:type="dxa"/>
              <w:left w:w="0" w:type="dxa"/>
              <w:right w:w="0" w:type="dxa"/>
            </w:tcMar>
            <w:vAlign w:val="center"/>
          </w:tcPr>
          <w:p>
            <w:pPr>
              <w:pStyle w:val="Normal"/>
              <w:bidi w:val="0"/>
              <w:jc w:val="left"/>
              <w:rPr/>
            </w:pPr>
            <w:r>
              <w:rPr/>
            </w:r>
          </w:p>
        </w:tc>
      </w:tr>
      <w:tr>
        <w:trPr/>
        <w:tc>
          <w:tcPr>
            <w:tcW w:w="6975" w:type="dxa"/>
            <w:gridSpan w:val="24"/>
            <w:tcBorders>
              <w:bottom w:val="single" w:sz="8" w:space="0" w:color="004EA8"/>
            </w:tcBorders>
            <w:tcMar>
              <w:top w:w="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828282"/>
                <w:sz w:val="24"/>
              </w:rPr>
            </w:pPr>
            <w:r>
              <w:rPr>
                <w:rFonts w:ascii="Helvetica;sans-serif" w:hAnsi="Helvetica;sans-serif"/>
                <w:b/>
                <w:color w:val="828282"/>
                <w:sz w:val="24"/>
              </w:rPr>
              <w:t>Condensed Consolidated Statements of Income (Unaudited)</w:t>
            </w:r>
          </w:p>
        </w:tc>
        <w:tc>
          <w:tcPr>
            <w:tcW w:w="1931" w:type="dxa"/>
            <w:gridSpan w:val="6"/>
            <w:vMerge w:val="continue"/>
            <w:tcBorders>
              <w:bottom w:val="single" w:sz="8" w:space="0" w:color="004EA8"/>
            </w:tcBorders>
            <w:tcMar>
              <w:top w:w="0" w:type="dxa"/>
              <w:left w:w="0" w:type="dxa"/>
              <w:right w:w="0" w:type="dxa"/>
            </w:tcMar>
            <w:vAlign w:val="center"/>
          </w:tcPr>
          <w:p>
            <w:pPr>
              <w:pStyle w:val="Normal"/>
              <w:bidi w:val="0"/>
              <w:jc w:val="left"/>
              <w:rPr/>
            </w:pPr>
            <w:r>
              <w:rPr/>
            </w:r>
          </w:p>
        </w:tc>
      </w:tr>
    </w:tbl>
    <w:tbl>
      <w:tblPr>
        <w:tblW w:w="10205" w:type="dxa"/>
        <w:jc w:val="left"/>
        <w:tblInd w:w="0" w:type="dxa"/>
        <w:tblLayout w:type="fixed"/>
        <w:tblCellMar>
          <w:top w:w="28" w:type="dxa"/>
          <w:left w:w="28" w:type="dxa"/>
          <w:bottom w:w="28" w:type="dxa"/>
          <w:right w:w="28" w:type="dxa"/>
        </w:tblCellMar>
      </w:tblPr>
      <w:tblGrid>
        <w:gridCol w:w="2709"/>
        <w:gridCol w:w="1691"/>
        <w:gridCol w:w="737"/>
        <w:gridCol w:w="420"/>
        <w:gridCol w:w="421"/>
        <w:gridCol w:w="134"/>
        <w:gridCol w:w="130"/>
        <w:gridCol w:w="130"/>
        <w:gridCol w:w="130"/>
        <w:gridCol w:w="413"/>
        <w:gridCol w:w="413"/>
        <w:gridCol w:w="134"/>
        <w:gridCol w:w="109"/>
        <w:gridCol w:w="109"/>
        <w:gridCol w:w="109"/>
        <w:gridCol w:w="420"/>
        <w:gridCol w:w="421"/>
        <w:gridCol w:w="154"/>
        <w:gridCol w:w="127"/>
        <w:gridCol w:w="127"/>
        <w:gridCol w:w="127"/>
        <w:gridCol w:w="413"/>
        <w:gridCol w:w="413"/>
        <w:gridCol w:w="214"/>
      </w:tblGrid>
      <w:tr>
        <w:trPr/>
        <w:tc>
          <w:tcPr>
            <w:tcW w:w="2709" w:type="dxa"/>
            <w:tcBorders/>
            <w:vAlign w:val="center"/>
          </w:tcPr>
          <w:p>
            <w:pPr>
              <w:pStyle w:val="TableContents"/>
              <w:bidi w:val="0"/>
              <w:spacing w:before="0" w:after="283"/>
              <w:jc w:val="left"/>
              <w:rPr>
                <w:sz w:val="4"/>
                <w:szCs w:val="4"/>
              </w:rPr>
            </w:pPr>
            <w:r>
              <w:rPr>
                <w:sz w:val="4"/>
                <w:szCs w:val="4"/>
              </w:rPr>
            </w:r>
          </w:p>
        </w:tc>
        <w:tc>
          <w:tcPr>
            <w:tcW w:w="1691"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5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8"/>
              </w:rPr>
            </w:pPr>
            <w:r>
              <w:rPr>
                <w:rFonts w:ascii="Helvetica;sans-serif" w:hAnsi="Helvetica;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8"/>
              </w:rPr>
            </w:pPr>
            <w:r>
              <w:rPr>
                <w:rFonts w:ascii="Helvetica;sans-serif" w:hAnsi="Helvetica;sans-serif"/>
                <w:b/>
                <w:color w:val="000000"/>
                <w:sz w:val="18"/>
              </w:rPr>
              <w:t>Nine Months Ended</w:t>
            </w:r>
          </w:p>
        </w:tc>
      </w:tr>
      <w:tr>
        <w:trPr/>
        <w:tc>
          <w:tcPr>
            <w:tcW w:w="51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(in millions, except per share data)</w:t>
            </w:r>
          </w:p>
        </w:tc>
        <w:tc>
          <w:tcPr>
            <w:tcW w:w="23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8"/>
              </w:rPr>
            </w:pPr>
            <w:r>
              <w:rPr>
                <w:rFonts w:ascii="Helvetica;sans-serif" w:hAnsi="Helvetica;sans-serif"/>
                <w:b/>
                <w:color w:val="000000"/>
                <w:sz w:val="18"/>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8"/>
              </w:rPr>
            </w:pPr>
            <w:r>
              <w:rPr>
                <w:rFonts w:ascii="Helvetica;sans-serif" w:hAnsi="Helvetica;sans-serif"/>
                <w:b/>
                <w:color w:val="000000"/>
                <w:sz w:val="18"/>
              </w:rPr>
              <w:t>September 30,</w:t>
            </w:r>
          </w:p>
        </w:tc>
      </w:tr>
      <w:tr>
        <w:trPr/>
        <w:tc>
          <w:tcPr>
            <w:tcW w:w="5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8"/>
              </w:rPr>
            </w:pPr>
            <w:r>
              <w:rPr>
                <w:rFonts w:ascii="Helvetica;sans-serif" w:hAnsi="Helvetica;sans-serif"/>
                <w:b/>
                <w:color w:val="000000"/>
                <w:sz w:val="18"/>
              </w:rPr>
              <w:t>2026</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8"/>
              </w:rPr>
            </w:pPr>
            <w:r>
              <w:rPr>
                <w:rFonts w:ascii="Helvetica;sans-serif" w:hAnsi="Helvetica;sans-serif"/>
                <w:b w:val="false"/>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8"/>
              </w:rPr>
            </w:pPr>
            <w:r>
              <w:rPr>
                <w:rFonts w:ascii="Helvetica;sans-serif" w:hAnsi="Helvetica;sans-serif"/>
                <w:b/>
                <w:color w:val="000000"/>
                <w:sz w:val="18"/>
              </w:rPr>
              <w:t>2026</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8"/>
              </w:rPr>
            </w:pPr>
            <w:r>
              <w:rPr>
                <w:rFonts w:ascii="Helvetica;sans-serif" w:hAnsi="Helvetica;sans-serif"/>
                <w:b w:val="false"/>
                <w:color w:val="000000"/>
                <w:sz w:val="18"/>
              </w:rPr>
              <w:t>2025</w:t>
            </w:r>
          </w:p>
        </w:tc>
      </w:tr>
      <w:tr>
        <w:trPr/>
        <w:tc>
          <w:tcPr>
            <w:tcW w:w="51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8"/>
              </w:rPr>
            </w:pPr>
            <w:r>
              <w:rPr>
                <w:rFonts w:ascii="Helvetica;sans-serif" w:hAnsi="Helvetica;sans-serif"/>
                <w:b/>
                <w:color w:val="000000"/>
                <w:sz w:val="18"/>
              </w:rPr>
              <w:t>Revenue</w:t>
            </w:r>
          </w:p>
        </w:tc>
        <w:tc>
          <w:tcPr>
            <w:tcW w:w="84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$29,298</w:t>
            </w:r>
            <w:r>
              <w:rPr>
                <w:color w:val="000000"/>
              </w:rPr>
              <w:t> </w:t>
            </w:r>
          </w:p>
        </w:tc>
        <w:tc>
          <w:tcPr>
            <w:tcW w:w="13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$31,198 </w:t>
            </w:r>
          </w:p>
        </w:tc>
        <w:tc>
          <w:tcPr>
            <w:tcW w:w="13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$90,695</w:t>
            </w:r>
            <w:r>
              <w:rPr>
                <w:color w:val="000000"/>
              </w:rPr>
              <w:t>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$91,397 </w:t>
            </w:r>
          </w:p>
        </w:tc>
        <w:tc>
          <w:tcPr>
            <w:tcW w:w="21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Costs and expenses</w:t>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 xml:space="preserve">Programming and production </w:t>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7,515</w:t>
            </w:r>
            <w:r>
              <w:rPr>
                <w:color w:val="000000"/>
              </w:rPr>
              <w:t>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8,655 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26,789</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24,646 </w:t>
            </w:r>
          </w:p>
        </w:tc>
        <w:tc>
          <w:tcPr>
            <w:tcW w:w="2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Marketing and promotion</w:t>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2,119</w:t>
            </w:r>
            <w:r>
              <w:rPr>
                <w:color w:val="000000"/>
              </w:rPr>
              <w:t>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2,196 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6,540</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6,435 </w:t>
            </w:r>
          </w:p>
        </w:tc>
        <w:tc>
          <w:tcPr>
            <w:tcW w:w="2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Other operating and administrative</w:t>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10,645</w:t>
            </w:r>
            <w:r>
              <w:rPr>
                <w:color w:val="000000"/>
              </w:rPr>
              <w:t>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10,795 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31,498</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31,109 </w:t>
            </w:r>
          </w:p>
        </w:tc>
        <w:tc>
          <w:tcPr>
            <w:tcW w:w="2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Depreciation</w:t>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2,385</w:t>
            </w:r>
            <w:r>
              <w:rPr>
                <w:color w:val="000000"/>
              </w:rPr>
              <w:t>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2,353 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7,108</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6,934 </w:t>
            </w:r>
          </w:p>
        </w:tc>
        <w:tc>
          <w:tcPr>
            <w:tcW w:w="2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Amortization</w:t>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1,314</w:t>
            </w:r>
            <w:r>
              <w:rPr>
                <w:color w:val="000000"/>
              </w:rPr>
              <w:t>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1,666 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4,144</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5,089 </w:t>
            </w:r>
          </w:p>
        </w:tc>
        <w:tc>
          <w:tcPr>
            <w:tcW w:w="2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7"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r>
      <w:tr>
        <w:trPr/>
        <w:tc>
          <w:tcPr>
            <w:tcW w:w="5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23,978</w:t>
            </w:r>
            <w:r>
              <w:rPr>
                <w:color w:val="000000"/>
              </w:rPr>
              <w:t> </w:t>
            </w:r>
          </w:p>
        </w:tc>
        <w:tc>
          <w:tcPr>
            <w:tcW w:w="13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25,665 </w:t>
            </w:r>
          </w:p>
        </w:tc>
        <w:tc>
          <w:tcPr>
            <w:tcW w:w="13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76,079</w:t>
            </w:r>
            <w:r>
              <w:rPr>
                <w:color w:val="000000"/>
              </w:rPr>
              <w:t>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74,213 </w:t>
            </w:r>
          </w:p>
        </w:tc>
        <w:tc>
          <w:tcPr>
            <w:tcW w:w="21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8"/>
              </w:rPr>
            </w:pPr>
            <w:r>
              <w:rPr>
                <w:rFonts w:ascii="Helvetica;sans-serif" w:hAnsi="Helvetica;sans-serif"/>
                <w:b/>
                <w:color w:val="000000"/>
                <w:sz w:val="18"/>
              </w:rPr>
              <w:t xml:space="preserve">Operating income </w:t>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5,320</w:t>
            </w:r>
            <w:r>
              <w:rPr>
                <w:color w:val="000000"/>
              </w:rPr>
              <w:t>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5,534 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14,616</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17,184 </w:t>
            </w:r>
          </w:p>
        </w:tc>
        <w:tc>
          <w:tcPr>
            <w:tcW w:w="2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Interest expense</w:t>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8"/>
              </w:rPr>
            </w:pPr>
            <w:r>
              <w:rPr>
                <w:rFonts w:ascii="Helvetica;sans-serif" w:hAnsi="Helvetica;sans-serif"/>
                <w:b/>
                <w:color w:val="000000"/>
                <w:sz w:val="18"/>
              </w:rPr>
              <w:t>(962)</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(1,128)</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8"/>
              </w:rPr>
            </w:pPr>
            <w:r>
              <w:rPr>
                <w:rFonts w:ascii="Helvetica;sans-serif" w:hAnsi="Helvetica;sans-serif"/>
                <w:b/>
                <w:color w:val="000000"/>
                <w:sz w:val="18"/>
              </w:rPr>
              <w:t>(3,108)</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(3,283)</w:t>
            </w:r>
          </w:p>
        </w:tc>
        <w:tc>
          <w:tcPr>
            <w:tcW w:w="2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Investment and other income (loss), net</w:t>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Equity in net income (losses) of investees, net</w:t>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129</w:t>
            </w:r>
            <w:r>
              <w:rPr>
                <w:color w:val="000000"/>
              </w:rPr>
              <w:t>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(90)</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23</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(312)</w:t>
            </w:r>
          </w:p>
        </w:tc>
        <w:tc>
          <w:tcPr>
            <w:tcW w:w="2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Realized and unrealized gains (losses) on equity securities, net</w:t>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8"/>
              </w:rPr>
            </w:pPr>
            <w:r>
              <w:rPr>
                <w:rFonts w:ascii="Helvetica;sans-serif" w:hAnsi="Helvetica;sans-serif"/>
                <w:b/>
                <w:color w:val="000000"/>
                <w:sz w:val="18"/>
              </w:rPr>
              <w:t>(46)</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(60)</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8"/>
              </w:rPr>
            </w:pPr>
            <w:r>
              <w:rPr>
                <w:rFonts w:ascii="Helvetica;sans-serif" w:hAnsi="Helvetica;sans-serif"/>
                <w:b/>
                <w:color w:val="000000"/>
                <w:sz w:val="18"/>
              </w:rPr>
              <w:t>(65)</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52 </w:t>
            </w:r>
          </w:p>
        </w:tc>
        <w:tc>
          <w:tcPr>
            <w:tcW w:w="2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Other income (loss), net</w:t>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6</w:t>
            </w:r>
            <w:r>
              <w:rPr>
                <w:color w:val="000000"/>
              </w:rPr>
              <w:t>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212 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325</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9,966 </w:t>
            </w:r>
          </w:p>
        </w:tc>
        <w:tc>
          <w:tcPr>
            <w:tcW w:w="2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88</w:t>
            </w:r>
            <w:r>
              <w:rPr>
                <w:color w:val="000000"/>
              </w:rPr>
              <w:t> </w:t>
            </w:r>
          </w:p>
        </w:tc>
        <w:tc>
          <w:tcPr>
            <w:tcW w:w="13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61 </w:t>
            </w:r>
          </w:p>
        </w:tc>
        <w:tc>
          <w:tcPr>
            <w:tcW w:w="13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283</w:t>
            </w:r>
            <w:r>
              <w:rPr>
                <w:color w:val="000000"/>
              </w:rPr>
              <w:t>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9,705 </w:t>
            </w:r>
          </w:p>
        </w:tc>
        <w:tc>
          <w:tcPr>
            <w:tcW w:w="21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 xml:space="preserve">Income before income taxes </w:t>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4,446</w:t>
            </w:r>
            <w:r>
              <w:rPr>
                <w:color w:val="000000"/>
              </w:rPr>
              <w:t>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4,468 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11,791</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23,607 </w:t>
            </w:r>
          </w:p>
        </w:tc>
        <w:tc>
          <w:tcPr>
            <w:tcW w:w="2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Income tax (expense) benefit</w:t>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8"/>
              </w:rPr>
            </w:pPr>
            <w:r>
              <w:rPr>
                <w:rFonts w:ascii="Helvetica;sans-serif" w:hAnsi="Helvetica;sans-serif"/>
                <w:b/>
                <w:color w:val="000000"/>
                <w:sz w:val="18"/>
              </w:rPr>
              <w:t>(1,084)</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(1,218)</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8"/>
              </w:rPr>
            </w:pPr>
            <w:r>
              <w:rPr>
                <w:rFonts w:ascii="Helvetica;sans-serif" w:hAnsi="Helvetica;sans-serif"/>
                <w:b/>
                <w:color w:val="000000"/>
                <w:sz w:val="18"/>
              </w:rPr>
              <w:t>(2,983)</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(6,017)</w:t>
            </w:r>
          </w:p>
        </w:tc>
        <w:tc>
          <w:tcPr>
            <w:tcW w:w="2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8"/>
              </w:rPr>
            </w:pPr>
            <w:r>
              <w:rPr>
                <w:rFonts w:ascii="Helvetica;sans-serif" w:hAnsi="Helvetica;sans-serif"/>
                <w:b/>
                <w:color w:val="000000"/>
                <w:sz w:val="18"/>
              </w:rPr>
              <w:t>Net income</w:t>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3,362</w:t>
            </w:r>
            <w:r>
              <w:rPr>
                <w:color w:val="000000"/>
              </w:rPr>
              <w:t>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3,249 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8,807</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17,590 </w:t>
            </w:r>
          </w:p>
        </w:tc>
        <w:tc>
          <w:tcPr>
            <w:tcW w:w="2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Less: Net income (loss) attributable to noncontrolling interests</w:t>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8"/>
              </w:rPr>
            </w:pPr>
            <w:r>
              <w:rPr>
                <w:rFonts w:ascii="Helvetica;sans-serif" w:hAnsi="Helvetica;sans-serif"/>
                <w:b/>
                <w:color w:val="000000"/>
                <w:sz w:val="18"/>
              </w:rPr>
              <w:t>(87)</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(83)</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8"/>
              </w:rPr>
            </w:pPr>
            <w:r>
              <w:rPr>
                <w:rFonts w:ascii="Helvetica;sans-serif" w:hAnsi="Helvetica;sans-serif"/>
                <w:b/>
                <w:color w:val="000000"/>
                <w:sz w:val="18"/>
              </w:rPr>
              <w:t>(341)</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(241)</w:t>
            </w:r>
          </w:p>
        </w:tc>
        <w:tc>
          <w:tcPr>
            <w:tcW w:w="2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8"/>
              </w:rPr>
            </w:pPr>
            <w:r>
              <w:rPr>
                <w:rFonts w:ascii="Helvetica;sans-serif" w:hAnsi="Helvetica;sans-serif"/>
                <w:b/>
                <w:color w:val="000000"/>
                <w:sz w:val="18"/>
              </w:rPr>
              <w:t>Net income attributable to Comcast Corporation</w:t>
            </w:r>
          </w:p>
        </w:tc>
        <w:tc>
          <w:tcPr>
            <w:tcW w:w="84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$3,448</w:t>
            </w:r>
            <w:r>
              <w:rPr>
                <w:color w:val="000000"/>
              </w:rPr>
              <w:t> </w:t>
            </w:r>
          </w:p>
        </w:tc>
        <w:tc>
          <w:tcPr>
            <w:tcW w:w="13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$3,332 </w:t>
            </w:r>
          </w:p>
        </w:tc>
        <w:tc>
          <w:tcPr>
            <w:tcW w:w="13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$9,148</w:t>
            </w:r>
            <w:r>
              <w:rPr>
                <w:color w:val="000000"/>
              </w:rPr>
              <w:t>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$17,830 </w:t>
            </w:r>
          </w:p>
        </w:tc>
        <w:tc>
          <w:tcPr>
            <w:tcW w:w="21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8"/>
              </w:rPr>
            </w:pPr>
            <w:r>
              <w:rPr>
                <w:rFonts w:ascii="Helvetica;sans-serif" w:hAnsi="Helvetica;sans-serif"/>
                <w:b/>
                <w:color w:val="000000"/>
                <w:sz w:val="18"/>
              </w:rPr>
              <w:t>Diluted earnings per common share attributable to Comcast Corporation shareholders</w:t>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$0.97</w:t>
            </w:r>
            <w:r>
              <w:rPr>
                <w:color w:val="000000"/>
              </w:rPr>
              <w:t>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$0.90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$2.55</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$4.78 </w:t>
            </w:r>
          </w:p>
        </w:tc>
        <w:tc>
          <w:tcPr>
            <w:tcW w:w="2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7"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r>
      <w:tr>
        <w:trPr/>
        <w:tc>
          <w:tcPr>
            <w:tcW w:w="5137"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r>
      <w:tr>
        <w:trPr/>
        <w:tc>
          <w:tcPr>
            <w:tcW w:w="51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Diluted weighted-average number of common shares</w:t>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3,562</w:t>
            </w:r>
            <w:r>
              <w:rPr>
                <w:color w:val="000000"/>
              </w:rPr>
              <w:t>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3,689 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3,583</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3,733 </w:t>
            </w:r>
          </w:p>
        </w:tc>
        <w:tc>
          <w:tcPr>
            <w:tcW w:w="2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16840"/>
                <wp:effectExtent l="0" t="0" r="0" b="0"/>
                <wp:wrapNone/>
                <wp:docPr id="16" name="Frame1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16"/>
                              </w:rPr>
                            </w:pPr>
                            <w:r>
                              <w:rPr>
                                <w:rFonts w:ascii="Helvetica;sans-serif" w:hAnsi="Helvetica;sans-serif"/>
                                <w:b w:val="false"/>
                                <w:color w:val="000000"/>
                                <w:sz w:val="16"/>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16"/>
                        </w:rPr>
                      </w:pPr>
                      <w:r>
                        <w:rPr>
                          <w:rFonts w:ascii="Helvetica;sans-serif" w:hAnsi="Helvetica;sans-serif"/>
                          <w:b w:val="false"/>
                          <w:color w:val="000000"/>
                          <w:sz w:val="16"/>
                        </w:rPr>
                        <w:t>11</w:t>
                      </w:r>
                    </w:p>
                  </w:txbxContent>
                </v:textbox>
                <w10:wrap type="none"/>
              </v:rect>
            </w:pict>
          </mc:Fallback>
        </mc:AlternateContent>
      </w:r>
    </w:p>
    <w:tbl>
      <w:tblPr>
        <w:tblW w:w="7998" w:type="dxa"/>
        <w:jc w:val="left"/>
        <w:tblInd w:w="0" w:type="dxa"/>
        <w:tblLayout w:type="fixed"/>
        <w:tblCellMar>
          <w:top w:w="28" w:type="dxa"/>
          <w:left w:w="28" w:type="dxa"/>
          <w:bottom w:w="28" w:type="dxa"/>
          <w:right w:w="28" w:type="dxa"/>
        </w:tblCellMar>
      </w:tblPr>
      <w:tblGrid>
        <w:gridCol w:w="327"/>
        <w:gridCol w:w="287"/>
        <w:gridCol w:w="287"/>
        <w:gridCol w:w="287"/>
        <w:gridCol w:w="287"/>
        <w:gridCol w:w="287"/>
        <w:gridCol w:w="287"/>
        <w:gridCol w:w="287"/>
        <w:gridCol w:w="287"/>
        <w:gridCol w:w="287"/>
        <w:gridCol w:w="287"/>
        <w:gridCol w:w="287"/>
        <w:gridCol w:w="287"/>
        <w:gridCol w:w="287"/>
        <w:gridCol w:w="287"/>
        <w:gridCol w:w="287"/>
        <w:gridCol w:w="287"/>
        <w:gridCol w:w="287"/>
        <w:gridCol w:w="287"/>
        <w:gridCol w:w="287"/>
        <w:gridCol w:w="287"/>
        <w:gridCol w:w="205"/>
        <w:gridCol w:w="205"/>
        <w:gridCol w:w="205"/>
        <w:gridCol w:w="205"/>
        <w:gridCol w:w="205"/>
        <w:gridCol w:w="205"/>
        <w:gridCol w:w="205"/>
        <w:gridCol w:w="205"/>
        <w:gridCol w:w="291"/>
      </w:tblGrid>
      <w:tr>
        <w:trPr/>
        <w:tc>
          <w:tcPr>
            <w:tcW w:w="32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1" w:type="dxa"/>
            <w:gridSpan w:val="9"/>
            <w:vMerge w:val="restart"/>
            <w:tcBorders>
              <w:bottom w:val="single" w:sz="8" w:space="0" w:color="004EA8"/>
            </w:tcBorders>
            <w:tcMar>
              <w:top w:w="0" w:type="dxa"/>
              <w:left w:w="0" w:type="dxa"/>
              <w:right w:w="0" w:type="dxa"/>
            </w:tcMar>
            <w:vAlign w:val="center"/>
          </w:tcPr>
          <w:p>
            <w:pPr>
              <w:pStyle w:val="TableContents"/>
              <w:bidi w:val="0"/>
              <w:spacing w:before="0" w:after="0"/>
              <w:jc w:val="right"/>
              <w:rPr/>
            </w:pPr>
            <w:r>
              <w:rPr/>
              <w:drawing>
                <wp:inline distT="0" distB="0" distL="0" distR="0">
                  <wp:extent cx="1143000" cy="457200"/>
                  <wp:effectExtent l="0" t="0" r="0" b="0"/>
                  <wp:docPr id="1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3" descr=""/>
                          <pic:cNvPicPr>
                            <a:picLocks noChangeAspect="1" noChangeArrowheads="1"/>
                          </pic:cNvPicPr>
                        </pic:nvPicPr>
                        <pic:blipFill>
                          <a:blip r:embed="rId4"/>
                          <a:stretch>
                            <a:fillRect/>
                          </a:stretch>
                        </pic:blipFill>
                        <pic:spPr bwMode="auto">
                          <a:xfrm>
                            <a:off x="0" y="0"/>
                            <a:ext cx="1143000" cy="457200"/>
                          </a:xfrm>
                          <a:prstGeom prst="rect">
                            <a:avLst/>
                          </a:prstGeom>
                        </pic:spPr>
                      </pic:pic>
                    </a:graphicData>
                  </a:graphic>
                </wp:inline>
              </w:drawing>
            </w:r>
          </w:p>
        </w:tc>
      </w:tr>
      <w:tr>
        <w:trPr/>
        <w:tc>
          <w:tcPr>
            <w:tcW w:w="6067" w:type="dxa"/>
            <w:gridSpan w:val="21"/>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828282"/>
                <w:sz w:val="28"/>
              </w:rPr>
            </w:pPr>
            <w:r>
              <w:rPr>
                <w:rFonts w:ascii="Helvetica;sans-serif" w:hAnsi="Helvetica;sans-serif"/>
                <w:b/>
                <w:color w:val="828282"/>
                <w:sz w:val="28"/>
              </w:rPr>
              <w:t>TABLE 2</w:t>
            </w:r>
          </w:p>
        </w:tc>
        <w:tc>
          <w:tcPr>
            <w:tcW w:w="1931" w:type="dxa"/>
            <w:gridSpan w:val="9"/>
            <w:vMerge w:val="continue"/>
            <w:tcBorders>
              <w:bottom w:val="single" w:sz="8" w:space="0" w:color="004EA8"/>
            </w:tcBorders>
            <w:tcMar>
              <w:top w:w="0" w:type="dxa"/>
              <w:left w:w="0" w:type="dxa"/>
              <w:right w:w="0" w:type="dxa"/>
            </w:tcMar>
            <w:vAlign w:val="center"/>
          </w:tcPr>
          <w:p>
            <w:pPr>
              <w:pStyle w:val="Normal"/>
              <w:bidi w:val="0"/>
              <w:jc w:val="left"/>
              <w:rPr/>
            </w:pPr>
            <w:r>
              <w:rPr/>
            </w:r>
          </w:p>
        </w:tc>
      </w:tr>
      <w:tr>
        <w:trPr/>
        <w:tc>
          <w:tcPr>
            <w:tcW w:w="6067" w:type="dxa"/>
            <w:gridSpan w:val="21"/>
            <w:tcBorders>
              <w:bottom w:val="single" w:sz="8" w:space="0" w:color="004EA8"/>
            </w:tcBorders>
            <w:tcMar>
              <w:top w:w="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828282"/>
                <w:sz w:val="24"/>
              </w:rPr>
            </w:pPr>
            <w:r>
              <w:rPr>
                <w:rFonts w:ascii="Helvetica;sans-serif" w:hAnsi="Helvetica;sans-serif"/>
                <w:b/>
                <w:color w:val="828282"/>
                <w:sz w:val="24"/>
              </w:rPr>
              <w:t>Consolidated Statements of Cash Flows (Unaudited)</w:t>
            </w:r>
          </w:p>
        </w:tc>
        <w:tc>
          <w:tcPr>
            <w:tcW w:w="1931" w:type="dxa"/>
            <w:gridSpan w:val="9"/>
            <w:vMerge w:val="continue"/>
            <w:tcBorders>
              <w:bottom w:val="single" w:sz="8" w:space="0" w:color="004EA8"/>
            </w:tcBorders>
            <w:tcMar>
              <w:top w:w="0" w:type="dxa"/>
              <w:left w:w="0" w:type="dxa"/>
              <w:right w:w="0" w:type="dxa"/>
            </w:tcMar>
            <w:vAlign w:val="center"/>
          </w:tcPr>
          <w:p>
            <w:pPr>
              <w:pStyle w:val="Normal"/>
              <w:bidi w:val="0"/>
              <w:jc w:val="left"/>
              <w:rPr/>
            </w:pPr>
            <w:r>
              <w:rPr/>
            </w:r>
          </w:p>
        </w:tc>
      </w:tr>
    </w:tbl>
    <w:tbl>
      <w:tblPr>
        <w:tblW w:w="9946" w:type="dxa"/>
        <w:jc w:val="left"/>
        <w:tblInd w:w="0" w:type="dxa"/>
        <w:tblLayout w:type="fixed"/>
        <w:tblCellMar>
          <w:top w:w="28" w:type="dxa"/>
          <w:left w:w="28" w:type="dxa"/>
          <w:bottom w:w="28" w:type="dxa"/>
          <w:right w:w="28" w:type="dxa"/>
        </w:tblCellMar>
      </w:tblPr>
      <w:tblGrid>
        <w:gridCol w:w="2636"/>
        <w:gridCol w:w="2319"/>
        <w:gridCol w:w="2335"/>
        <w:gridCol w:w="398"/>
        <w:gridCol w:w="398"/>
        <w:gridCol w:w="191"/>
        <w:gridCol w:w="191"/>
        <w:gridCol w:w="191"/>
        <w:gridCol w:w="191"/>
        <w:gridCol w:w="413"/>
        <w:gridCol w:w="413"/>
        <w:gridCol w:w="270"/>
      </w:tblGrid>
      <w:tr>
        <w:trPr/>
        <w:tc>
          <w:tcPr>
            <w:tcW w:w="2636" w:type="dxa"/>
            <w:tcBorders/>
            <w:vAlign w:val="center"/>
          </w:tcPr>
          <w:p>
            <w:pPr>
              <w:pStyle w:val="TableContents"/>
              <w:bidi w:val="0"/>
              <w:spacing w:before="0" w:after="283"/>
              <w:jc w:val="left"/>
              <w:rPr>
                <w:sz w:val="4"/>
                <w:szCs w:val="4"/>
              </w:rPr>
            </w:pPr>
            <w:r>
              <w:rPr>
                <w:sz w:val="4"/>
                <w:szCs w:val="4"/>
              </w:rPr>
            </w:r>
          </w:p>
        </w:tc>
        <w:tc>
          <w:tcPr>
            <w:tcW w:w="2319" w:type="dxa"/>
            <w:tcBorders/>
            <w:vAlign w:val="center"/>
          </w:tcPr>
          <w:p>
            <w:pPr>
              <w:pStyle w:val="TableContents"/>
              <w:bidi w:val="0"/>
              <w:spacing w:before="0" w:after="283"/>
              <w:jc w:val="left"/>
              <w:rPr>
                <w:sz w:val="4"/>
                <w:szCs w:val="4"/>
              </w:rPr>
            </w:pPr>
            <w:r>
              <w:rPr>
                <w:sz w:val="4"/>
                <w:szCs w:val="4"/>
              </w:rPr>
            </w:r>
          </w:p>
        </w:tc>
        <w:tc>
          <w:tcPr>
            <w:tcW w:w="2335"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r>
      <w:tr>
        <w:trPr/>
        <w:tc>
          <w:tcPr>
            <w:tcW w:w="7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8"/>
              </w:rPr>
            </w:pPr>
            <w:r>
              <w:rPr>
                <w:rFonts w:ascii="Helvetica;sans-serif" w:hAnsi="Helvetica;sans-serif"/>
                <w:b/>
                <w:color w:val="000000"/>
                <w:sz w:val="18"/>
              </w:rPr>
              <w:t>Nine Months Ended</w:t>
            </w:r>
          </w:p>
        </w:tc>
      </w:tr>
      <w:tr>
        <w:trPr/>
        <w:tc>
          <w:tcPr>
            <w:tcW w:w="7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(in millions)</w:t>
            </w:r>
          </w:p>
        </w:tc>
        <w:tc>
          <w:tcPr>
            <w:tcW w:w="26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8"/>
              </w:rPr>
            </w:pPr>
            <w:r>
              <w:rPr>
                <w:rFonts w:ascii="Helvetica;sans-serif" w:hAnsi="Helvetica;sans-serif"/>
                <w:b/>
                <w:color w:val="000000"/>
                <w:sz w:val="18"/>
              </w:rPr>
              <w:t>September 30,</w:t>
            </w:r>
          </w:p>
        </w:tc>
      </w:tr>
      <w:tr>
        <w:trPr/>
        <w:tc>
          <w:tcPr>
            <w:tcW w:w="7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8"/>
              </w:rPr>
            </w:pPr>
            <w:r>
              <w:rPr>
                <w:rFonts w:ascii="Helvetica;sans-serif" w:hAnsi="Helvetica;sans-serif"/>
                <w:b/>
                <w:color w:val="000000"/>
                <w:sz w:val="18"/>
              </w:rPr>
              <w:t>2026</w:t>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8"/>
              </w:rPr>
            </w:pPr>
            <w:r>
              <w:rPr>
                <w:rFonts w:ascii="Helvetica;sans-serif" w:hAnsi="Helvetica;sans-serif"/>
                <w:b w:val="false"/>
                <w:color w:val="000000"/>
                <w:sz w:val="18"/>
              </w:rPr>
              <w:t>2025</w:t>
            </w:r>
          </w:p>
        </w:tc>
      </w:tr>
      <w:tr>
        <w:trPr/>
        <w:tc>
          <w:tcPr>
            <w:tcW w:w="7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8"/>
              </w:rPr>
            </w:pPr>
            <w:r>
              <w:rPr>
                <w:rFonts w:ascii="Helvetica;sans-serif" w:hAnsi="Helvetica;sans-serif"/>
                <w:b/>
                <w:color w:val="000000"/>
                <w:sz w:val="18"/>
              </w:rPr>
              <w:t>OPERATING ACTIVITIES</w:t>
            </w:r>
          </w:p>
        </w:tc>
        <w:tc>
          <w:tcPr>
            <w:tcW w:w="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Net income</w:t>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$8,807</w:t>
            </w:r>
            <w:r>
              <w:rPr>
                <w:color w:val="000000"/>
              </w:rPr>
              <w:t>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$17,590 </w:t>
            </w:r>
          </w:p>
        </w:tc>
        <w:tc>
          <w:tcPr>
            <w:tcW w:w="2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Adjustments to reconcile net income to net cash provided by operating activities:</w:t>
            </w:r>
          </w:p>
        </w:tc>
        <w:tc>
          <w:tcPr>
            <w:tcW w:w="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Depreciation and amortization</w:t>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11,252</w:t>
            </w:r>
            <w:r>
              <w:rPr>
                <w:color w:val="000000"/>
              </w:rPr>
              <w:t>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12,023 </w:t>
            </w:r>
          </w:p>
        </w:tc>
        <w:tc>
          <w:tcPr>
            <w:tcW w:w="2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Share-based compensation</w:t>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1,134</w:t>
            </w:r>
            <w:r>
              <w:rPr>
                <w:color w:val="000000"/>
              </w:rPr>
              <w:t>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1,014 </w:t>
            </w:r>
          </w:p>
        </w:tc>
        <w:tc>
          <w:tcPr>
            <w:tcW w:w="2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Noncash interest expense (income), net</w:t>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314</w:t>
            </w:r>
            <w:r>
              <w:rPr>
                <w:color w:val="000000"/>
              </w:rPr>
              <w:t>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359 </w:t>
            </w:r>
          </w:p>
        </w:tc>
        <w:tc>
          <w:tcPr>
            <w:tcW w:w="2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Net (gain) loss on investment activity and other</w:t>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8"/>
              </w:rPr>
            </w:pPr>
            <w:r>
              <w:rPr>
                <w:rFonts w:ascii="Helvetica;sans-serif" w:hAnsi="Helvetica;sans-serif"/>
                <w:b/>
                <w:color w:val="000000"/>
                <w:sz w:val="18"/>
              </w:rPr>
              <w:t>(7)</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(9,282)</w:t>
            </w:r>
          </w:p>
        </w:tc>
        <w:tc>
          <w:tcPr>
            <w:tcW w:w="2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Deferred income taxes</w:t>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1,523</w:t>
            </w:r>
            <w:r>
              <w:rPr>
                <w:color w:val="000000"/>
              </w:rPr>
              <w:t>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3,250 </w:t>
            </w:r>
          </w:p>
        </w:tc>
        <w:tc>
          <w:tcPr>
            <w:tcW w:w="2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Changes in operating assets and liabilities, net of effects of acquisitions and divestitures:</w:t>
            </w:r>
          </w:p>
        </w:tc>
        <w:tc>
          <w:tcPr>
            <w:tcW w:w="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Current and noncurrent receivables, net</w:t>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8"/>
              </w:rPr>
            </w:pPr>
            <w:r>
              <w:rPr>
                <w:rFonts w:ascii="Helvetica;sans-serif" w:hAnsi="Helvetica;sans-serif"/>
                <w:b/>
                <w:color w:val="000000"/>
                <w:sz w:val="18"/>
              </w:rPr>
              <w:t>(1,000)</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716 </w:t>
            </w:r>
          </w:p>
        </w:tc>
        <w:tc>
          <w:tcPr>
            <w:tcW w:w="2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Film and television costs, net</w:t>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251</w:t>
            </w:r>
            <w:r>
              <w:rPr>
                <w:color w:val="000000"/>
              </w:rPr>
              <w:t>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(168)</w:t>
            </w:r>
          </w:p>
        </w:tc>
        <w:tc>
          <w:tcPr>
            <w:tcW w:w="2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Accounts payable and accrued expenses related to trade creditors</w:t>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890</w:t>
            </w:r>
            <w:r>
              <w:rPr>
                <w:color w:val="000000"/>
              </w:rPr>
              <w:t>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(135)</w:t>
            </w:r>
          </w:p>
        </w:tc>
        <w:tc>
          <w:tcPr>
            <w:tcW w:w="2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Other operating assets and liabilities</w:t>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8"/>
              </w:rPr>
            </w:pPr>
            <w:r>
              <w:rPr>
                <w:rFonts w:ascii="Helvetica;sans-serif" w:hAnsi="Helvetica;sans-serif"/>
                <w:b/>
                <w:color w:val="000000"/>
                <w:sz w:val="18"/>
              </w:rPr>
              <w:t>(278)</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(566)</w:t>
            </w:r>
          </w:p>
        </w:tc>
        <w:tc>
          <w:tcPr>
            <w:tcW w:w="2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Net cash provided by operating activities</w:t>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22,886</w:t>
            </w:r>
            <w:r>
              <w:rPr>
                <w:color w:val="000000"/>
              </w:rPr>
              <w:t>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24,802 </w:t>
            </w:r>
          </w:p>
        </w:tc>
        <w:tc>
          <w:tcPr>
            <w:tcW w:w="2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8"/>
              </w:rPr>
            </w:pPr>
            <w:r>
              <w:rPr>
                <w:rFonts w:ascii="Helvetica;sans-serif" w:hAnsi="Helvetica;sans-serif"/>
                <w:b/>
                <w:color w:val="000000"/>
                <w:sz w:val="18"/>
              </w:rPr>
              <w:t>INVESTING ACTIVITIES</w:t>
            </w:r>
          </w:p>
        </w:tc>
        <w:tc>
          <w:tcPr>
            <w:tcW w:w="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Capital expenditures</w:t>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8"/>
              </w:rPr>
            </w:pPr>
            <w:r>
              <w:rPr>
                <w:rFonts w:ascii="Helvetica;sans-serif" w:hAnsi="Helvetica;sans-serif"/>
                <w:b/>
                <w:color w:val="000000"/>
                <w:sz w:val="18"/>
              </w:rPr>
              <w:t>(8,311)</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(8,001)</w:t>
            </w:r>
          </w:p>
        </w:tc>
        <w:tc>
          <w:tcPr>
            <w:tcW w:w="2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Cash paid for intangible assets</w:t>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8"/>
              </w:rPr>
            </w:pPr>
            <w:r>
              <w:rPr>
                <w:rFonts w:ascii="Helvetica;sans-serif" w:hAnsi="Helvetica;sans-serif"/>
                <w:b/>
                <w:color w:val="000000"/>
                <w:sz w:val="18"/>
              </w:rPr>
              <w:t>(1,859)</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(1,934)</w:t>
            </w:r>
          </w:p>
        </w:tc>
        <w:tc>
          <w:tcPr>
            <w:tcW w:w="2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7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Construction of Universal Beijing Resort</w:t>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(3)</w:t>
            </w:r>
          </w:p>
        </w:tc>
        <w:tc>
          <w:tcPr>
            <w:tcW w:w="2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Acquisitions, net of cash acquired</w:t>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(1,279)</w:t>
            </w:r>
          </w:p>
        </w:tc>
        <w:tc>
          <w:tcPr>
            <w:tcW w:w="2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Proceeds from sales of businesses and investments</w:t>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128</w:t>
            </w:r>
            <w:r>
              <w:rPr>
                <w:color w:val="000000"/>
              </w:rPr>
              <w:t>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644 </w:t>
            </w:r>
          </w:p>
        </w:tc>
        <w:tc>
          <w:tcPr>
            <w:tcW w:w="2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7290"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7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 xml:space="preserve">Purchases of investments </w:t>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8"/>
              </w:rPr>
            </w:pPr>
            <w:r>
              <w:rPr>
                <w:rFonts w:ascii="Helvetica;sans-serif" w:hAnsi="Helvetica;sans-serif"/>
                <w:b/>
                <w:color w:val="000000"/>
                <w:sz w:val="18"/>
              </w:rPr>
              <w:t>(668)</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(1,226)</w:t>
            </w:r>
          </w:p>
        </w:tc>
        <w:tc>
          <w:tcPr>
            <w:tcW w:w="2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7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Other</w:t>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461</w:t>
            </w:r>
            <w:r>
              <w:rPr>
                <w:color w:val="000000"/>
              </w:rPr>
              <w:t>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80 </w:t>
            </w:r>
          </w:p>
        </w:tc>
        <w:tc>
          <w:tcPr>
            <w:tcW w:w="2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Net cash (used in) investing activities</w:t>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8"/>
              </w:rPr>
            </w:pPr>
            <w:r>
              <w:rPr>
                <w:rFonts w:ascii="Helvetica;sans-serif" w:hAnsi="Helvetica;sans-serif"/>
                <w:b/>
                <w:color w:val="000000"/>
                <w:sz w:val="18"/>
              </w:rPr>
              <w:t>(10,249)</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(11,720)</w:t>
            </w:r>
          </w:p>
        </w:tc>
        <w:tc>
          <w:tcPr>
            <w:tcW w:w="2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8"/>
              </w:rPr>
            </w:pPr>
            <w:r>
              <w:rPr>
                <w:rFonts w:ascii="Helvetica;sans-serif" w:hAnsi="Helvetica;sans-serif"/>
                <w:b/>
                <w:color w:val="000000"/>
                <w:sz w:val="18"/>
              </w:rPr>
              <w:t>FINANCING ACTIVITIES</w:t>
            </w:r>
          </w:p>
        </w:tc>
        <w:tc>
          <w:tcPr>
            <w:tcW w:w="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Proceeds from borrowings</w:t>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1,990</w:t>
            </w:r>
            <w:r>
              <w:rPr>
                <w:color w:val="000000"/>
              </w:rPr>
              <w:t>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2,494 </w:t>
            </w:r>
          </w:p>
        </w:tc>
        <w:tc>
          <w:tcPr>
            <w:tcW w:w="2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7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Repurchases and repayments of debt</w:t>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8"/>
              </w:rPr>
            </w:pPr>
            <w:r>
              <w:rPr>
                <w:rFonts w:ascii="Helvetica;sans-serif" w:hAnsi="Helvetica;sans-serif"/>
                <w:b/>
                <w:color w:val="000000"/>
                <w:sz w:val="18"/>
              </w:rPr>
              <w:t>(10,405)</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(4,366)</w:t>
            </w:r>
          </w:p>
        </w:tc>
        <w:tc>
          <w:tcPr>
            <w:tcW w:w="2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Repurchases of common stock under repurchase program and employee plans</w:t>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8"/>
              </w:rPr>
            </w:pPr>
            <w:r>
              <w:rPr>
                <w:rFonts w:ascii="Helvetica;sans-serif" w:hAnsi="Helvetica;sans-serif"/>
                <w:b/>
                <w:color w:val="000000"/>
                <w:sz w:val="18"/>
              </w:rPr>
              <w:t>(2,517)</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(5,618)</w:t>
            </w:r>
          </w:p>
        </w:tc>
        <w:tc>
          <w:tcPr>
            <w:tcW w:w="2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Dividends paid</w:t>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8"/>
              </w:rPr>
            </w:pPr>
            <w:r>
              <w:rPr>
                <w:rFonts w:ascii="Helvetica;sans-serif" w:hAnsi="Helvetica;sans-serif"/>
                <w:b/>
                <w:color w:val="000000"/>
                <w:sz w:val="18"/>
              </w:rPr>
              <w:t>(3,606)</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(3,685)</w:t>
            </w:r>
          </w:p>
        </w:tc>
        <w:tc>
          <w:tcPr>
            <w:tcW w:w="2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Cash transferred to Versant, net</w:t>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8"/>
              </w:rPr>
            </w:pPr>
            <w:r>
              <w:rPr>
                <w:rFonts w:ascii="Helvetica;sans-serif" w:hAnsi="Helvetica;sans-serif"/>
                <w:b/>
                <w:color w:val="000000"/>
                <w:sz w:val="18"/>
              </w:rPr>
              <w:t>(750)</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Other</w:t>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8"/>
              </w:rPr>
            </w:pPr>
            <w:r>
              <w:rPr>
                <w:rFonts w:ascii="Helvetica;sans-serif" w:hAnsi="Helvetica;sans-serif"/>
                <w:b/>
                <w:color w:val="000000"/>
                <w:sz w:val="18"/>
              </w:rPr>
              <w:t>(236)</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51 </w:t>
            </w:r>
          </w:p>
        </w:tc>
        <w:tc>
          <w:tcPr>
            <w:tcW w:w="2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Net cash (used in) financing activities</w:t>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8"/>
              </w:rPr>
            </w:pPr>
            <w:r>
              <w:rPr>
                <w:rFonts w:ascii="Helvetica;sans-serif" w:hAnsi="Helvetica;sans-serif"/>
                <w:b/>
                <w:color w:val="000000"/>
                <w:sz w:val="18"/>
              </w:rPr>
              <w:t>(15,525)</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(11,124)</w:t>
            </w:r>
          </w:p>
        </w:tc>
        <w:tc>
          <w:tcPr>
            <w:tcW w:w="2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Impact of foreign currency on cash, cash equivalents and restricted cash</w:t>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6</w:t>
            </w:r>
            <w:r>
              <w:rPr>
                <w:color w:val="000000"/>
              </w:rPr>
              <w:t>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35 </w:t>
            </w:r>
          </w:p>
        </w:tc>
        <w:tc>
          <w:tcPr>
            <w:tcW w:w="2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Increase (decrease) in cash, cash equivalents and restricted cash</w:t>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8"/>
              </w:rPr>
            </w:pPr>
            <w:r>
              <w:rPr>
                <w:rFonts w:ascii="Helvetica;sans-serif" w:hAnsi="Helvetica;sans-serif"/>
                <w:b/>
                <w:color w:val="000000"/>
                <w:sz w:val="18"/>
              </w:rPr>
              <w:t>(2,882)</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1,994 </w:t>
            </w:r>
          </w:p>
        </w:tc>
        <w:tc>
          <w:tcPr>
            <w:tcW w:w="2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Cash, cash equivalents and restricted cash, beginning of period</w:t>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10,559</w:t>
            </w:r>
            <w:r>
              <w:rPr>
                <w:color w:val="000000"/>
              </w:rPr>
              <w:t>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7,377 </w:t>
            </w:r>
          </w:p>
        </w:tc>
        <w:tc>
          <w:tcPr>
            <w:tcW w:w="2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8"/>
              </w:rPr>
            </w:pPr>
            <w:r>
              <w:rPr>
                <w:rFonts w:ascii="Helvetica;sans-serif" w:hAnsi="Helvetica;sans-serif"/>
                <w:b/>
                <w:color w:val="000000"/>
                <w:sz w:val="18"/>
              </w:rPr>
              <w:t>Cash, cash equivalents and restricted cash, end of period</w:t>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$7,676</w:t>
            </w:r>
            <w:r>
              <w:rPr>
                <w:color w:val="000000"/>
              </w:rPr>
              <w:t>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$9,371 </w:t>
            </w:r>
          </w:p>
        </w:tc>
        <w:tc>
          <w:tcPr>
            <w:tcW w:w="2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16840"/>
                <wp:effectExtent l="0" t="0" r="0" b="0"/>
                <wp:wrapNone/>
                <wp:docPr id="18" name="Frame1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16"/>
                              </w:rPr>
                            </w:pPr>
                            <w:r>
                              <w:rPr>
                                <w:rFonts w:ascii="Helvetica;sans-serif" w:hAnsi="Helvetica;sans-serif"/>
                                <w:b w:val="false"/>
                                <w:color w:val="000000"/>
                                <w:sz w:val="16"/>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16"/>
                        </w:rPr>
                      </w:pPr>
                      <w:r>
                        <w:rPr>
                          <w:rFonts w:ascii="Helvetica;sans-serif" w:hAnsi="Helvetica;sans-serif"/>
                          <w:b w:val="false"/>
                          <w:color w:val="000000"/>
                          <w:sz w:val="16"/>
                        </w:rPr>
                        <w:t>12</w:t>
                      </w:r>
                    </w:p>
                  </w:txbxContent>
                </v:textbox>
                <w10:wrap type="none"/>
              </v:rect>
            </w:pict>
          </mc:Fallback>
        </mc:AlternateContent>
      </w:r>
    </w:p>
    <w:tbl>
      <w:tblPr>
        <w:tblW w:w="8209" w:type="dxa"/>
        <w:jc w:val="left"/>
        <w:tblInd w:w="0" w:type="dxa"/>
        <w:tblLayout w:type="fixed"/>
        <w:tblCellMar>
          <w:top w:w="28" w:type="dxa"/>
          <w:left w:w="28" w:type="dxa"/>
          <w:bottom w:w="28" w:type="dxa"/>
          <w:right w:w="28" w:type="dxa"/>
        </w:tblCellMar>
      </w:tblPr>
      <w:tblGrid>
        <w:gridCol w:w="338"/>
        <w:gridCol w:w="297"/>
        <w:gridCol w:w="297"/>
        <w:gridCol w:w="297"/>
        <w:gridCol w:w="297"/>
        <w:gridCol w:w="297"/>
        <w:gridCol w:w="297"/>
        <w:gridCol w:w="297"/>
        <w:gridCol w:w="297"/>
        <w:gridCol w:w="297"/>
        <w:gridCol w:w="297"/>
        <w:gridCol w:w="297"/>
        <w:gridCol w:w="297"/>
        <w:gridCol w:w="297"/>
        <w:gridCol w:w="297"/>
        <w:gridCol w:w="297"/>
        <w:gridCol w:w="297"/>
        <w:gridCol w:w="297"/>
        <w:gridCol w:w="297"/>
        <w:gridCol w:w="297"/>
        <w:gridCol w:w="297"/>
        <w:gridCol w:w="205"/>
        <w:gridCol w:w="205"/>
        <w:gridCol w:w="205"/>
        <w:gridCol w:w="205"/>
        <w:gridCol w:w="205"/>
        <w:gridCol w:w="205"/>
        <w:gridCol w:w="205"/>
        <w:gridCol w:w="205"/>
        <w:gridCol w:w="291"/>
      </w:tblGrid>
      <w:tr>
        <w:trPr/>
        <w:tc>
          <w:tcPr>
            <w:tcW w:w="338"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1" w:type="dxa"/>
            <w:gridSpan w:val="9"/>
            <w:vMerge w:val="restart"/>
            <w:tcBorders>
              <w:bottom w:val="single" w:sz="8" w:space="0" w:color="004EA8"/>
            </w:tcBorders>
            <w:tcMar>
              <w:top w:w="0" w:type="dxa"/>
              <w:left w:w="0" w:type="dxa"/>
              <w:right w:w="0" w:type="dxa"/>
            </w:tcMar>
            <w:vAlign w:val="center"/>
          </w:tcPr>
          <w:p>
            <w:pPr>
              <w:pStyle w:val="TableContents"/>
              <w:bidi w:val="0"/>
              <w:spacing w:before="0" w:after="0"/>
              <w:jc w:val="right"/>
              <w:rPr/>
            </w:pPr>
            <w:r>
              <w:rPr/>
              <w:drawing>
                <wp:inline distT="0" distB="0" distL="0" distR="0">
                  <wp:extent cx="1143000" cy="447675"/>
                  <wp:effectExtent l="0" t="0" r="0" b="0"/>
                  <wp:docPr id="19"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4" descr=""/>
                          <pic:cNvPicPr>
                            <a:picLocks noChangeAspect="1" noChangeArrowheads="1"/>
                          </pic:cNvPicPr>
                        </pic:nvPicPr>
                        <pic:blipFill>
                          <a:blip r:embed="rId5"/>
                          <a:stretch>
                            <a:fillRect/>
                          </a:stretch>
                        </pic:blipFill>
                        <pic:spPr bwMode="auto">
                          <a:xfrm>
                            <a:off x="0" y="0"/>
                            <a:ext cx="1143000" cy="447675"/>
                          </a:xfrm>
                          <a:prstGeom prst="rect">
                            <a:avLst/>
                          </a:prstGeom>
                        </pic:spPr>
                      </pic:pic>
                    </a:graphicData>
                  </a:graphic>
                </wp:inline>
              </w:drawing>
            </w:r>
          </w:p>
        </w:tc>
      </w:tr>
      <w:tr>
        <w:trPr/>
        <w:tc>
          <w:tcPr>
            <w:tcW w:w="6278" w:type="dxa"/>
            <w:gridSpan w:val="21"/>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828282"/>
                <w:sz w:val="28"/>
              </w:rPr>
            </w:pPr>
            <w:r>
              <w:rPr>
                <w:rFonts w:ascii="Helvetica;sans-serif" w:hAnsi="Helvetica;sans-serif"/>
                <w:b/>
                <w:color w:val="828282"/>
                <w:sz w:val="28"/>
              </w:rPr>
              <w:t>TABLE 3</w:t>
            </w:r>
          </w:p>
        </w:tc>
        <w:tc>
          <w:tcPr>
            <w:tcW w:w="1931" w:type="dxa"/>
            <w:gridSpan w:val="9"/>
            <w:vMerge w:val="continue"/>
            <w:tcBorders>
              <w:bottom w:val="single" w:sz="8" w:space="0" w:color="004EA8"/>
            </w:tcBorders>
            <w:tcMar>
              <w:top w:w="0" w:type="dxa"/>
              <w:left w:w="0" w:type="dxa"/>
              <w:right w:w="0" w:type="dxa"/>
            </w:tcMar>
            <w:vAlign w:val="center"/>
          </w:tcPr>
          <w:p>
            <w:pPr>
              <w:pStyle w:val="Normal"/>
              <w:bidi w:val="0"/>
              <w:jc w:val="left"/>
              <w:rPr/>
            </w:pPr>
            <w:r>
              <w:rPr/>
            </w:r>
          </w:p>
        </w:tc>
      </w:tr>
      <w:tr>
        <w:trPr/>
        <w:tc>
          <w:tcPr>
            <w:tcW w:w="6278" w:type="dxa"/>
            <w:gridSpan w:val="21"/>
            <w:tcBorders>
              <w:bottom w:val="single" w:sz="8" w:space="0" w:color="004EA8"/>
            </w:tcBorders>
            <w:tcMar>
              <w:top w:w="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828282"/>
                <w:sz w:val="24"/>
              </w:rPr>
            </w:pPr>
            <w:r>
              <w:rPr>
                <w:rFonts w:ascii="Helvetica;sans-serif" w:hAnsi="Helvetica;sans-serif"/>
                <w:b/>
                <w:color w:val="828282"/>
                <w:sz w:val="24"/>
              </w:rPr>
              <w:t>Condensed Consolidated Balance Sheets (Unaudited)</w:t>
            </w:r>
          </w:p>
        </w:tc>
        <w:tc>
          <w:tcPr>
            <w:tcW w:w="1931" w:type="dxa"/>
            <w:gridSpan w:val="9"/>
            <w:vMerge w:val="continue"/>
            <w:tcBorders>
              <w:bottom w:val="single" w:sz="8" w:space="0" w:color="004EA8"/>
            </w:tcBorders>
            <w:tcMar>
              <w:top w:w="0" w:type="dxa"/>
              <w:left w:w="0" w:type="dxa"/>
              <w:right w:w="0" w:type="dxa"/>
            </w:tcMar>
            <w:vAlign w:val="center"/>
          </w:tcPr>
          <w:p>
            <w:pPr>
              <w:pStyle w:val="Normal"/>
              <w:bidi w:val="0"/>
              <w:jc w:val="left"/>
              <w:rPr/>
            </w:pPr>
            <w:r>
              <w:rPr/>
            </w:r>
          </w:p>
        </w:tc>
      </w:tr>
    </w:tbl>
    <w:tbl>
      <w:tblPr>
        <w:tblW w:w="8703" w:type="dxa"/>
        <w:jc w:val="left"/>
        <w:tblInd w:w="0" w:type="dxa"/>
        <w:tblLayout w:type="fixed"/>
        <w:tblCellMar>
          <w:top w:w="28" w:type="dxa"/>
          <w:left w:w="28" w:type="dxa"/>
          <w:bottom w:w="28" w:type="dxa"/>
          <w:right w:w="28" w:type="dxa"/>
        </w:tblCellMar>
      </w:tblPr>
      <w:tblGrid>
        <w:gridCol w:w="2368"/>
        <w:gridCol w:w="1564"/>
        <w:gridCol w:w="1574"/>
        <w:gridCol w:w="496"/>
        <w:gridCol w:w="450"/>
        <w:gridCol w:w="451"/>
        <w:gridCol w:w="109"/>
        <w:gridCol w:w="109"/>
        <w:gridCol w:w="109"/>
        <w:gridCol w:w="491"/>
        <w:gridCol w:w="440"/>
        <w:gridCol w:w="542"/>
      </w:tblGrid>
      <w:tr>
        <w:trPr/>
        <w:tc>
          <w:tcPr>
            <w:tcW w:w="2368"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r>
      <w:tr>
        <w:trPr/>
        <w:tc>
          <w:tcPr>
            <w:tcW w:w="5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(in millions)</w:t>
            </w:r>
          </w:p>
        </w:tc>
        <w:tc>
          <w:tcPr>
            <w:tcW w:w="13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8"/>
              </w:rPr>
            </w:pPr>
            <w:r>
              <w:rPr>
                <w:rFonts w:ascii="Helvetica;sans-serif" w:hAnsi="Helvetica;sans-serif"/>
                <w:b/>
                <w:color w:val="000000"/>
                <w:sz w:val="18"/>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8"/>
              </w:rPr>
            </w:pPr>
            <w:r>
              <w:rPr>
                <w:rFonts w:ascii="Helvetica;sans-serif" w:hAnsi="Helvetica;sans-serif"/>
                <w:b w:val="false"/>
                <w:color w:val="000000"/>
                <w:sz w:val="18"/>
              </w:rPr>
              <w:t>December 31,</w:t>
            </w:r>
          </w:p>
        </w:tc>
      </w:tr>
      <w:tr>
        <w:trPr/>
        <w:tc>
          <w:tcPr>
            <w:tcW w:w="5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8"/>
              </w:rPr>
            </w:pPr>
            <w:r>
              <w:rPr>
                <w:rFonts w:ascii="Helvetica;sans-serif" w:hAnsi="Helvetica;sans-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8"/>
              </w:rPr>
            </w:pPr>
            <w:r>
              <w:rPr>
                <w:rFonts w:ascii="Helvetica;sans-serif" w:hAnsi="Helvetica;sans-serif"/>
                <w:b w:val="false"/>
                <w:color w:val="000000"/>
                <w:sz w:val="18"/>
              </w:rPr>
              <w:t>2025</w:t>
            </w:r>
          </w:p>
        </w:tc>
      </w:tr>
      <w:tr>
        <w:trPr/>
        <w:tc>
          <w:tcPr>
            <w:tcW w:w="55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8"/>
              </w:rPr>
            </w:pPr>
            <w:r>
              <w:rPr>
                <w:rFonts w:ascii="Helvetica;sans-serif" w:hAnsi="Helvetica;sans-serif"/>
                <w:b/>
                <w:color w:val="000000"/>
                <w:sz w:val="18"/>
              </w:rPr>
              <w:t>ASSETS</w:t>
            </w:r>
          </w:p>
        </w:tc>
        <w:tc>
          <w:tcPr>
            <w:tcW w:w="13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Current Assets</w:t>
            </w:r>
          </w:p>
        </w:tc>
        <w:tc>
          <w:tcPr>
            <w:tcW w:w="1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Cash and cash equivalents</w:t>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$7,596</w:t>
            </w:r>
            <w:r>
              <w:rPr>
                <w:color w:val="000000"/>
              </w:rPr>
              <w:t> </w:t>
            </w:r>
          </w:p>
        </w:tc>
        <w:tc>
          <w:tcPr>
            <w:tcW w:w="4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$9,481 </w:t>
            </w:r>
          </w:p>
        </w:tc>
        <w:tc>
          <w:tcPr>
            <w:tcW w:w="5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Receivables, net</w:t>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13,542</w:t>
            </w:r>
            <w:r>
              <w:rPr>
                <w:color w:val="000000"/>
              </w:rPr>
              <w:t> </w:t>
            </w:r>
          </w:p>
        </w:tc>
        <w:tc>
          <w:tcPr>
            <w:tcW w:w="4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13,869 </w:t>
            </w:r>
          </w:p>
        </w:tc>
        <w:tc>
          <w:tcPr>
            <w:tcW w:w="5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Other current assets</w:t>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4,085</w:t>
            </w:r>
            <w:r>
              <w:rPr>
                <w:color w:val="000000"/>
              </w:rPr>
              <w:t> </w:t>
            </w:r>
          </w:p>
        </w:tc>
        <w:tc>
          <w:tcPr>
            <w:tcW w:w="4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6,217 </w:t>
            </w:r>
          </w:p>
        </w:tc>
        <w:tc>
          <w:tcPr>
            <w:tcW w:w="5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Total current assets</w:t>
            </w:r>
          </w:p>
        </w:tc>
        <w:tc>
          <w:tcPr>
            <w:tcW w:w="9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25,223</w:t>
            </w:r>
            <w:r>
              <w:rPr>
                <w:color w:val="000000"/>
              </w:rPr>
              <w:t> </w:t>
            </w:r>
          </w:p>
        </w:tc>
        <w:tc>
          <w:tcPr>
            <w:tcW w:w="4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29,567 </w:t>
            </w:r>
          </w:p>
        </w:tc>
        <w:tc>
          <w:tcPr>
            <w:tcW w:w="54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Film and television costs</w:t>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11,095</w:t>
            </w:r>
            <w:r>
              <w:rPr>
                <w:color w:val="000000"/>
              </w:rPr>
              <w:t> </w:t>
            </w:r>
          </w:p>
        </w:tc>
        <w:tc>
          <w:tcPr>
            <w:tcW w:w="4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12,214 </w:t>
            </w:r>
          </w:p>
        </w:tc>
        <w:tc>
          <w:tcPr>
            <w:tcW w:w="5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Investments</w:t>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7,860</w:t>
            </w:r>
            <w:r>
              <w:rPr>
                <w:color w:val="000000"/>
              </w:rPr>
              <w:t> </w:t>
            </w:r>
          </w:p>
        </w:tc>
        <w:tc>
          <w:tcPr>
            <w:tcW w:w="4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7,952 </w:t>
            </w:r>
          </w:p>
        </w:tc>
        <w:tc>
          <w:tcPr>
            <w:tcW w:w="5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Property and equipment, net</w:t>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66,957</w:t>
            </w:r>
            <w:r>
              <w:rPr>
                <w:color w:val="000000"/>
              </w:rPr>
              <w:t> </w:t>
            </w:r>
          </w:p>
        </w:tc>
        <w:tc>
          <w:tcPr>
            <w:tcW w:w="4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65,680 </w:t>
            </w:r>
          </w:p>
        </w:tc>
        <w:tc>
          <w:tcPr>
            <w:tcW w:w="5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Goodwill</w:t>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53,239</w:t>
            </w:r>
            <w:r>
              <w:rPr>
                <w:color w:val="000000"/>
              </w:rPr>
              <w:t> </w:t>
            </w:r>
          </w:p>
        </w:tc>
        <w:tc>
          <w:tcPr>
            <w:tcW w:w="4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61,502 </w:t>
            </w:r>
          </w:p>
        </w:tc>
        <w:tc>
          <w:tcPr>
            <w:tcW w:w="5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Franchise rights</w:t>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59,365</w:t>
            </w:r>
            <w:r>
              <w:rPr>
                <w:color w:val="000000"/>
              </w:rPr>
              <w:t> </w:t>
            </w:r>
          </w:p>
        </w:tc>
        <w:tc>
          <w:tcPr>
            <w:tcW w:w="4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59,365 </w:t>
            </w:r>
          </w:p>
        </w:tc>
        <w:tc>
          <w:tcPr>
            <w:tcW w:w="5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Other intangible assets, net</w:t>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19,073</w:t>
            </w:r>
            <w:r>
              <w:rPr>
                <w:color w:val="000000"/>
              </w:rPr>
              <w:t> </w:t>
            </w:r>
          </w:p>
        </w:tc>
        <w:tc>
          <w:tcPr>
            <w:tcW w:w="4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22,474 </w:t>
            </w:r>
          </w:p>
        </w:tc>
        <w:tc>
          <w:tcPr>
            <w:tcW w:w="5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Other noncurrent assets, net</w:t>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14,956</w:t>
            </w:r>
            <w:r>
              <w:rPr>
                <w:color w:val="000000"/>
              </w:rPr>
              <w:t> </w:t>
            </w:r>
          </w:p>
        </w:tc>
        <w:tc>
          <w:tcPr>
            <w:tcW w:w="4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13,877 </w:t>
            </w:r>
          </w:p>
        </w:tc>
        <w:tc>
          <w:tcPr>
            <w:tcW w:w="5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$257,769</w:t>
            </w:r>
            <w:r>
              <w:rPr>
                <w:color w:val="000000"/>
              </w:rPr>
              <w:t> </w:t>
            </w:r>
          </w:p>
        </w:tc>
        <w:tc>
          <w:tcPr>
            <w:tcW w:w="4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$272,631 </w:t>
            </w:r>
          </w:p>
        </w:tc>
        <w:tc>
          <w:tcPr>
            <w:tcW w:w="5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8"/>
              </w:rPr>
            </w:pPr>
            <w:r>
              <w:rPr>
                <w:rFonts w:ascii="Helvetica;sans-serif" w:hAnsi="Helvetica;sans-serif"/>
                <w:b/>
                <w:color w:val="000000"/>
                <w:sz w:val="18"/>
              </w:rPr>
              <w:t>LIABILITIES AND EQUITY</w:t>
            </w:r>
          </w:p>
        </w:tc>
        <w:tc>
          <w:tcPr>
            <w:tcW w:w="1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Current Liabilities</w:t>
            </w:r>
          </w:p>
        </w:tc>
        <w:tc>
          <w:tcPr>
            <w:tcW w:w="1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Accounts payable and accrued expenses related to trade creditors</w:t>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$11,932</w:t>
            </w:r>
            <w:r>
              <w:rPr>
                <w:color w:val="000000"/>
              </w:rPr>
              <w:t> </w:t>
            </w:r>
          </w:p>
        </w:tc>
        <w:tc>
          <w:tcPr>
            <w:tcW w:w="4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$11,058 </w:t>
            </w:r>
          </w:p>
        </w:tc>
        <w:tc>
          <w:tcPr>
            <w:tcW w:w="5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Deferred revenue</w:t>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3,958</w:t>
            </w:r>
            <w:r>
              <w:rPr>
                <w:color w:val="000000"/>
              </w:rPr>
              <w:t> </w:t>
            </w:r>
          </w:p>
        </w:tc>
        <w:tc>
          <w:tcPr>
            <w:tcW w:w="4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4,097 </w:t>
            </w:r>
          </w:p>
        </w:tc>
        <w:tc>
          <w:tcPr>
            <w:tcW w:w="5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Accrued expenses and other current liabilities</w:t>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11,269</w:t>
            </w:r>
            <w:r>
              <w:rPr>
                <w:color w:val="000000"/>
              </w:rPr>
              <w:t> </w:t>
            </w:r>
          </w:p>
        </w:tc>
        <w:tc>
          <w:tcPr>
            <w:tcW w:w="4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12,410 </w:t>
            </w:r>
          </w:p>
        </w:tc>
        <w:tc>
          <w:tcPr>
            <w:tcW w:w="5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Current portion of debt</w:t>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3,560</w:t>
            </w:r>
            <w:r>
              <w:rPr>
                <w:color w:val="000000"/>
              </w:rPr>
              <w:t> </w:t>
            </w:r>
          </w:p>
        </w:tc>
        <w:tc>
          <w:tcPr>
            <w:tcW w:w="4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5,958 </w:t>
            </w:r>
          </w:p>
        </w:tc>
        <w:tc>
          <w:tcPr>
            <w:tcW w:w="5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6"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3" w:type="dxa"/>
            <w:gridSpan w:val="3"/>
            <w:tcBorders/>
            <w:vAlign w:val="center"/>
          </w:tcPr>
          <w:p>
            <w:pPr>
              <w:pStyle w:val="TableContents"/>
              <w:bidi w:val="0"/>
              <w:spacing w:before="0" w:after="283"/>
              <w:jc w:val="left"/>
              <w:rPr>
                <w:sz w:val="4"/>
                <w:szCs w:val="4"/>
              </w:rPr>
            </w:pPr>
            <w:r>
              <w:rPr>
                <w:sz w:val="4"/>
                <w:szCs w:val="4"/>
              </w:rPr>
            </w:r>
          </w:p>
        </w:tc>
      </w:tr>
      <w:tr>
        <w:trPr/>
        <w:tc>
          <w:tcPr>
            <w:tcW w:w="55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Total current liabilities</w:t>
            </w:r>
          </w:p>
        </w:tc>
        <w:tc>
          <w:tcPr>
            <w:tcW w:w="9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30,719</w:t>
            </w:r>
            <w:r>
              <w:rPr>
                <w:color w:val="000000"/>
              </w:rPr>
              <w:t> </w:t>
            </w:r>
          </w:p>
        </w:tc>
        <w:tc>
          <w:tcPr>
            <w:tcW w:w="4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33,524 </w:t>
            </w:r>
          </w:p>
        </w:tc>
        <w:tc>
          <w:tcPr>
            <w:tcW w:w="54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Noncurrent portion of debt</w:t>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83,806</w:t>
            </w:r>
            <w:r>
              <w:rPr>
                <w:color w:val="000000"/>
              </w:rPr>
              <w:t> </w:t>
            </w:r>
          </w:p>
        </w:tc>
        <w:tc>
          <w:tcPr>
            <w:tcW w:w="4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92,979 </w:t>
            </w:r>
          </w:p>
        </w:tc>
        <w:tc>
          <w:tcPr>
            <w:tcW w:w="5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Deferred income taxes</w:t>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29,022</w:t>
            </w:r>
            <w:r>
              <w:rPr>
                <w:color w:val="000000"/>
              </w:rPr>
              <w:t> </w:t>
            </w:r>
          </w:p>
        </w:tc>
        <w:tc>
          <w:tcPr>
            <w:tcW w:w="4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27,788 </w:t>
            </w:r>
          </w:p>
        </w:tc>
        <w:tc>
          <w:tcPr>
            <w:tcW w:w="5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Other noncurrent liabilities</w:t>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21,554</w:t>
            </w:r>
            <w:r>
              <w:rPr>
                <w:color w:val="000000"/>
              </w:rPr>
              <w:t> </w:t>
            </w:r>
          </w:p>
        </w:tc>
        <w:tc>
          <w:tcPr>
            <w:tcW w:w="4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20,965 </w:t>
            </w:r>
          </w:p>
        </w:tc>
        <w:tc>
          <w:tcPr>
            <w:tcW w:w="5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 xml:space="preserve">Redeemable noncontrolling interests </w:t>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171</w:t>
            </w:r>
            <w:r>
              <w:rPr>
                <w:color w:val="000000"/>
              </w:rPr>
              <w:t> </w:t>
            </w:r>
          </w:p>
        </w:tc>
        <w:tc>
          <w:tcPr>
            <w:tcW w:w="4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224 </w:t>
            </w:r>
          </w:p>
        </w:tc>
        <w:tc>
          <w:tcPr>
            <w:tcW w:w="5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Equity</w:t>
            </w:r>
          </w:p>
        </w:tc>
        <w:tc>
          <w:tcPr>
            <w:tcW w:w="1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Comcast Corporation shareholders' equity</w:t>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92,529</w:t>
            </w:r>
            <w:r>
              <w:rPr>
                <w:color w:val="000000"/>
              </w:rPr>
              <w:t> </w:t>
            </w:r>
          </w:p>
        </w:tc>
        <w:tc>
          <w:tcPr>
            <w:tcW w:w="4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96,903 </w:t>
            </w:r>
          </w:p>
        </w:tc>
        <w:tc>
          <w:tcPr>
            <w:tcW w:w="5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Noncontrolling interests</w:t>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8"/>
              </w:rPr>
            </w:pPr>
            <w:r>
              <w:rPr>
                <w:rFonts w:ascii="Helvetica;sans-serif" w:hAnsi="Helvetica;sans-serif"/>
                <w:b/>
                <w:color w:val="000000"/>
                <w:sz w:val="18"/>
              </w:rPr>
              <w:t>(33)</w:t>
            </w:r>
          </w:p>
        </w:tc>
        <w:tc>
          <w:tcPr>
            <w:tcW w:w="4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249 </w:t>
            </w:r>
          </w:p>
        </w:tc>
        <w:tc>
          <w:tcPr>
            <w:tcW w:w="5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Total equity</w:t>
            </w:r>
          </w:p>
        </w:tc>
        <w:tc>
          <w:tcPr>
            <w:tcW w:w="9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92,497</w:t>
            </w:r>
            <w:r>
              <w:rPr>
                <w:color w:val="000000"/>
              </w:rPr>
              <w:t> </w:t>
            </w:r>
          </w:p>
        </w:tc>
        <w:tc>
          <w:tcPr>
            <w:tcW w:w="4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97,151 </w:t>
            </w:r>
          </w:p>
        </w:tc>
        <w:tc>
          <w:tcPr>
            <w:tcW w:w="54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$257,769</w:t>
            </w:r>
            <w:r>
              <w:rPr>
                <w:color w:val="000000"/>
              </w:rPr>
              <w:t> </w:t>
            </w:r>
          </w:p>
        </w:tc>
        <w:tc>
          <w:tcPr>
            <w:tcW w:w="451"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$272,631 </w:t>
            </w:r>
          </w:p>
        </w:tc>
        <w:tc>
          <w:tcPr>
            <w:tcW w:w="542"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16840"/>
                <wp:effectExtent l="0" t="0" r="0" b="0"/>
                <wp:wrapNone/>
                <wp:docPr id="20" name="Frame1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16"/>
                              </w:rPr>
                            </w:pPr>
                            <w:r>
                              <w:rPr>
                                <w:rFonts w:ascii="Helvetica;sans-serif" w:hAnsi="Helvetica;sans-serif"/>
                                <w:b w:val="false"/>
                                <w:color w:val="000000"/>
                                <w:sz w:val="16"/>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16"/>
                        </w:rPr>
                      </w:pPr>
                      <w:r>
                        <w:rPr>
                          <w:rFonts w:ascii="Helvetica;sans-serif" w:hAnsi="Helvetica;sans-serif"/>
                          <w:b w:val="false"/>
                          <w:color w:val="000000"/>
                          <w:sz w:val="16"/>
                        </w:rPr>
                        <w:t>13</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493"/>
        <w:gridCol w:w="1041"/>
        <w:gridCol w:w="1044"/>
        <w:gridCol w:w="447"/>
        <w:gridCol w:w="367"/>
        <w:gridCol w:w="276"/>
        <w:gridCol w:w="276"/>
        <w:gridCol w:w="276"/>
        <w:gridCol w:w="276"/>
        <w:gridCol w:w="447"/>
        <w:gridCol w:w="359"/>
        <w:gridCol w:w="276"/>
        <w:gridCol w:w="125"/>
        <w:gridCol w:w="125"/>
        <w:gridCol w:w="125"/>
        <w:gridCol w:w="125"/>
        <w:gridCol w:w="125"/>
        <w:gridCol w:w="125"/>
        <w:gridCol w:w="578"/>
        <w:gridCol w:w="283"/>
        <w:gridCol w:w="213"/>
        <w:gridCol w:w="213"/>
        <w:gridCol w:w="213"/>
        <w:gridCol w:w="213"/>
        <w:gridCol w:w="561"/>
        <w:gridCol w:w="284"/>
        <w:gridCol w:w="319"/>
      </w:tblGrid>
      <w:tr>
        <w:trPr/>
        <w:tc>
          <w:tcPr>
            <w:tcW w:w="1493"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3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7" w:type="dxa"/>
            <w:gridSpan w:val="15"/>
            <w:vMerge w:val="restart"/>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143000" cy="447675"/>
                  <wp:effectExtent l="0" t="0" r="0" b="0"/>
                  <wp:docPr id="21"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5" descr=""/>
                          <pic:cNvPicPr>
                            <a:picLocks noChangeAspect="1" noChangeArrowheads="1"/>
                          </pic:cNvPicPr>
                        </pic:nvPicPr>
                        <pic:blipFill>
                          <a:blip r:embed="rId6"/>
                          <a:stretch>
                            <a:fillRect/>
                          </a:stretch>
                        </pic:blipFill>
                        <pic:spPr bwMode="auto">
                          <a:xfrm>
                            <a:off x="0" y="0"/>
                            <a:ext cx="1143000" cy="447675"/>
                          </a:xfrm>
                          <a:prstGeom prst="rect">
                            <a:avLst/>
                          </a:prstGeom>
                        </pic:spPr>
                      </pic:pic>
                    </a:graphicData>
                  </a:graphic>
                </wp:inline>
              </w:drawing>
            </w:r>
          </w:p>
        </w:tc>
      </w:tr>
      <w:tr>
        <w:trPr/>
        <w:tc>
          <w:tcPr>
            <w:tcW w:w="35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828282"/>
                <w:sz w:val="28"/>
              </w:rPr>
            </w:pPr>
            <w:r>
              <w:rPr>
                <w:rFonts w:ascii="Helvetica;sans-serif" w:hAnsi="Helvetica;sans-serif"/>
                <w:b/>
                <w:color w:val="828282"/>
                <w:sz w:val="28"/>
              </w:rPr>
              <w:t>TABLE 4</w:t>
            </w:r>
          </w:p>
        </w:tc>
        <w:tc>
          <w:tcPr>
            <w:tcW w:w="1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7" w:type="dxa"/>
            <w:gridSpan w:val="15"/>
            <w:vMerge w:val="continue"/>
            <w:tcBorders/>
            <w:tcMar>
              <w:top w:w="0" w:type="dxa"/>
              <w:left w:w="0" w:type="dxa"/>
              <w:bottom w:w="0" w:type="dxa"/>
              <w:right w:w="0" w:type="dxa"/>
            </w:tcMar>
            <w:vAlign w:val="center"/>
          </w:tcPr>
          <w:p>
            <w:pPr>
              <w:pStyle w:val="Normal"/>
              <w:bidi w:val="0"/>
              <w:jc w:val="left"/>
              <w:rPr/>
            </w:pPr>
            <w:r>
              <w:rPr/>
            </w:r>
          </w:p>
        </w:tc>
      </w:tr>
      <w:tr>
        <w:trPr/>
        <w:tc>
          <w:tcPr>
            <w:tcW w:w="6578"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7" w:type="dxa"/>
            <w:gridSpan w:val="15"/>
            <w:vMerge w:val="continue"/>
            <w:tcBorders/>
            <w:tcMar>
              <w:top w:w="0" w:type="dxa"/>
              <w:left w:w="0" w:type="dxa"/>
              <w:bottom w:w="0" w:type="dxa"/>
              <w:right w:w="0" w:type="dxa"/>
            </w:tcMar>
            <w:vAlign w:val="center"/>
          </w:tcPr>
          <w:p>
            <w:pPr>
              <w:pStyle w:val="Normal"/>
              <w:bidi w:val="0"/>
              <w:jc w:val="left"/>
              <w:rPr/>
            </w:pPr>
            <w:r>
              <w:rPr/>
            </w:r>
          </w:p>
        </w:tc>
      </w:tr>
      <w:tr>
        <w:trPr/>
        <w:tc>
          <w:tcPr>
            <w:tcW w:w="6578"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828282"/>
                <w:sz w:val="20"/>
              </w:rPr>
            </w:pPr>
            <w:r>
              <w:rPr>
                <w:rFonts w:ascii="Helvetica;sans-serif" w:hAnsi="Helvetica;sans-serif"/>
                <w:b/>
                <w:color w:val="828282"/>
                <w:sz w:val="20"/>
              </w:rPr>
              <w:t>Reconciliation from Net Income Attributable to Comcast Corporation to Adjusted EBITDA (Unaudited)</w:t>
            </w:r>
          </w:p>
        </w:tc>
        <w:tc>
          <w:tcPr>
            <w:tcW w:w="3627" w:type="dxa"/>
            <w:gridSpan w:val="15"/>
            <w:vMerge w:val="continue"/>
            <w:tcBorders/>
            <w:tcMar>
              <w:top w:w="0" w:type="dxa"/>
              <w:left w:w="0" w:type="dxa"/>
              <w:bottom w:w="0" w:type="dxa"/>
              <w:right w:w="0" w:type="dxa"/>
            </w:tcMar>
            <w:vAlign w:val="center"/>
          </w:tcPr>
          <w:p>
            <w:pPr>
              <w:pStyle w:val="Normal"/>
              <w:bidi w:val="0"/>
              <w:jc w:val="left"/>
              <w:rPr/>
            </w:pPr>
            <w:r>
              <w:rPr/>
            </w:r>
          </w:p>
        </w:tc>
      </w:tr>
      <w:tr>
        <w:trPr/>
        <w:tc>
          <w:tcPr>
            <w:tcW w:w="3578" w:type="dxa"/>
            <w:gridSpan w:val="3"/>
            <w:tcBorders>
              <w:top w:val="single" w:sz="8" w:space="0" w:color="004EA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4EA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op w:val="single" w:sz="8" w:space="0" w:color="004EA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4EA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4EA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4EA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4EA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op w:val="single" w:sz="8" w:space="0" w:color="004EA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4EA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 September 30,</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877"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Nine Months Ended September 30,</w:t>
            </w:r>
          </w:p>
        </w:tc>
      </w:tr>
      <w:tr>
        <w:trPr/>
        <w:tc>
          <w:tcPr>
            <w:tcW w:w="3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9"/>
            <w:vMerge w:val="continue"/>
            <w:tcBorders/>
            <w:tcMar>
              <w:top w:w="0" w:type="dxa"/>
              <w:left w:w="0" w:type="dxa"/>
              <w:bottom w:w="0" w:type="dxa"/>
              <w:right w:w="0" w:type="dxa"/>
            </w:tcMar>
            <w:vAlign w:val="center"/>
          </w:tcPr>
          <w:p>
            <w:pPr>
              <w:pStyle w:val="Normal"/>
              <w:bidi w:val="0"/>
              <w:jc w:val="left"/>
              <w:rPr/>
            </w:pPr>
            <w:r>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877"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35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(in millions)</w:t>
            </w:r>
          </w:p>
        </w:tc>
        <w:tc>
          <w:tcPr>
            <w:tcW w:w="10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8"/>
              </w:rPr>
            </w:pPr>
            <w:r>
              <w:rPr>
                <w:rFonts w:ascii="Helvetica;sans-serif" w:hAnsi="Helvetica;sans-serif"/>
                <w:b/>
                <w:color w:val="000000"/>
                <w:sz w:val="18"/>
              </w:rPr>
              <w:t>2026</w:t>
            </w:r>
          </w:p>
        </w:tc>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8"/>
              </w:rPr>
            </w:pPr>
            <w:r>
              <w:rPr>
                <w:rFonts w:ascii="Helvetica;sans-serif" w:hAnsi="Helvetica;sans-serif"/>
                <w:b w:val="false"/>
                <w:color w:val="000000"/>
                <w:sz w:val="18"/>
              </w:rPr>
              <w:t>2025</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8"/>
              </w:rPr>
            </w:pPr>
            <w:r>
              <w:rPr>
                <w:rFonts w:ascii="Helvetica;sans-serif" w:hAnsi="Helvetica;sans-serif"/>
                <w:b/>
                <w:color w:val="000000"/>
                <w:sz w:val="18"/>
              </w:rPr>
              <w:t>2026</w:t>
            </w:r>
          </w:p>
        </w:tc>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8"/>
              </w:rPr>
            </w:pPr>
            <w:r>
              <w:rPr>
                <w:rFonts w:ascii="Helvetica;sans-serif" w:hAnsi="Helvetica;sans-serif"/>
                <w:b w:val="false"/>
                <w:color w:val="000000"/>
                <w:sz w:val="18"/>
              </w:rPr>
              <w:t>2025</w:t>
            </w:r>
          </w:p>
        </w:tc>
      </w:tr>
      <w:tr>
        <w:trPr/>
        <w:tc>
          <w:tcPr>
            <w:tcW w:w="35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8"/>
              </w:rPr>
            </w:pPr>
            <w:r>
              <w:rPr>
                <w:rFonts w:ascii="Helvetica;sans-serif" w:hAnsi="Helvetica;sans-serif"/>
                <w:b/>
                <w:color w:val="000000"/>
                <w:sz w:val="18"/>
              </w:rPr>
              <w:t>Net income attributable to Comcast Corporation</w:t>
            </w:r>
          </w:p>
        </w:tc>
        <w:tc>
          <w:tcPr>
            <w:tcW w:w="81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$3,448</w:t>
            </w:r>
            <w:r>
              <w:rPr>
                <w:color w:val="000000"/>
              </w:rPr>
              <w:t> </w:t>
            </w:r>
          </w:p>
        </w:tc>
        <w:tc>
          <w:tcPr>
            <w:tcW w:w="27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$3,332 </w:t>
            </w:r>
          </w:p>
        </w:tc>
        <w:tc>
          <w:tcPr>
            <w:tcW w:w="27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$9,148</w:t>
            </w:r>
            <w:r>
              <w:rPr>
                <w:color w:val="000000"/>
              </w:rPr>
              <w:t> </w:t>
            </w:r>
          </w:p>
        </w:tc>
        <w:tc>
          <w:tcPr>
            <w:tcW w:w="2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$17,830 </w:t>
            </w:r>
          </w:p>
        </w:tc>
        <w:tc>
          <w:tcPr>
            <w:tcW w:w="3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 xml:space="preserve">Net income (loss) attributable to noncontrolling interests </w:t>
            </w:r>
          </w:p>
        </w:tc>
        <w:tc>
          <w:tcPr>
            <w:tcW w:w="8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8"/>
              </w:rPr>
            </w:pPr>
            <w:r>
              <w:rPr>
                <w:rFonts w:ascii="Helvetica;sans-serif" w:hAnsi="Helvetica;sans-serif"/>
                <w:b/>
                <w:color w:val="000000"/>
                <w:sz w:val="18"/>
              </w:rPr>
              <w:t>(87)</w:t>
            </w:r>
          </w:p>
        </w:tc>
        <w:tc>
          <w:tcPr>
            <w:tcW w:w="2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(83)</w:t>
            </w:r>
          </w:p>
        </w:tc>
        <w:tc>
          <w:tcPr>
            <w:tcW w:w="2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8"/>
              </w:rPr>
            </w:pPr>
            <w:r>
              <w:rPr>
                <w:rFonts w:ascii="Helvetica;sans-serif" w:hAnsi="Helvetica;sans-serif"/>
                <w:b/>
                <w:color w:val="000000"/>
                <w:sz w:val="18"/>
              </w:rPr>
              <w:t>(341)</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(241)</w:t>
            </w:r>
          </w:p>
        </w:tc>
        <w:tc>
          <w:tcPr>
            <w:tcW w:w="3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Income tax expense (benefit)</w:t>
            </w:r>
          </w:p>
        </w:tc>
        <w:tc>
          <w:tcPr>
            <w:tcW w:w="81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1,084</w:t>
            </w:r>
            <w:r>
              <w:rPr>
                <w:color w:val="000000"/>
              </w:rPr>
              <w:t> </w:t>
            </w:r>
          </w:p>
        </w:tc>
        <w:tc>
          <w:tcPr>
            <w:tcW w:w="2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1,218 </w:t>
            </w:r>
          </w:p>
        </w:tc>
        <w:tc>
          <w:tcPr>
            <w:tcW w:w="2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2,983</w:t>
            </w:r>
            <w:r>
              <w:rPr>
                <w:color w:val="000000"/>
              </w:rPr>
              <w:t>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6,017 </w:t>
            </w:r>
          </w:p>
        </w:tc>
        <w:tc>
          <w:tcPr>
            <w:tcW w:w="3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Interest expense</w:t>
            </w:r>
          </w:p>
        </w:tc>
        <w:tc>
          <w:tcPr>
            <w:tcW w:w="81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962</w:t>
            </w:r>
            <w:r>
              <w:rPr>
                <w:color w:val="000000"/>
              </w:rPr>
              <w:t> </w:t>
            </w:r>
          </w:p>
        </w:tc>
        <w:tc>
          <w:tcPr>
            <w:tcW w:w="2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1,128 </w:t>
            </w:r>
          </w:p>
        </w:tc>
        <w:tc>
          <w:tcPr>
            <w:tcW w:w="2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3,108</w:t>
            </w:r>
            <w:r>
              <w:rPr>
                <w:color w:val="000000"/>
              </w:rPr>
              <w:t>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3,283 </w:t>
            </w:r>
          </w:p>
        </w:tc>
        <w:tc>
          <w:tcPr>
            <w:tcW w:w="3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Investment and other (income) loss, net</w:t>
            </w:r>
          </w:p>
        </w:tc>
        <w:tc>
          <w:tcPr>
            <w:tcW w:w="8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8"/>
              </w:rPr>
            </w:pPr>
            <w:r>
              <w:rPr>
                <w:rFonts w:ascii="Helvetica;sans-serif" w:hAnsi="Helvetica;sans-serif"/>
                <w:b/>
                <w:color w:val="000000"/>
                <w:sz w:val="18"/>
              </w:rPr>
              <w:t>(88)</w:t>
            </w:r>
          </w:p>
        </w:tc>
        <w:tc>
          <w:tcPr>
            <w:tcW w:w="2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(61)</w:t>
            </w:r>
          </w:p>
        </w:tc>
        <w:tc>
          <w:tcPr>
            <w:tcW w:w="2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8"/>
              </w:rPr>
            </w:pPr>
            <w:r>
              <w:rPr>
                <w:rFonts w:ascii="Helvetica;sans-serif" w:hAnsi="Helvetica;sans-serif"/>
                <w:b/>
                <w:color w:val="000000"/>
                <w:sz w:val="18"/>
              </w:rPr>
              <w:t>(283)</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(9,705)</w:t>
            </w:r>
          </w:p>
        </w:tc>
        <w:tc>
          <w:tcPr>
            <w:tcW w:w="3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Depreciation</w:t>
            </w:r>
          </w:p>
        </w:tc>
        <w:tc>
          <w:tcPr>
            <w:tcW w:w="81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2,385</w:t>
            </w:r>
            <w:r>
              <w:rPr>
                <w:color w:val="000000"/>
              </w:rPr>
              <w:t> </w:t>
            </w:r>
          </w:p>
        </w:tc>
        <w:tc>
          <w:tcPr>
            <w:tcW w:w="2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2,353 </w:t>
            </w:r>
          </w:p>
        </w:tc>
        <w:tc>
          <w:tcPr>
            <w:tcW w:w="2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7,108</w:t>
            </w:r>
            <w:r>
              <w:rPr>
                <w:color w:val="000000"/>
              </w:rPr>
              <w:t>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6,934 </w:t>
            </w:r>
          </w:p>
        </w:tc>
        <w:tc>
          <w:tcPr>
            <w:tcW w:w="3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Amortization</w:t>
            </w:r>
          </w:p>
        </w:tc>
        <w:tc>
          <w:tcPr>
            <w:tcW w:w="81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1,314</w:t>
            </w:r>
            <w:r>
              <w:rPr>
                <w:color w:val="000000"/>
              </w:rPr>
              <w:t> </w:t>
            </w:r>
          </w:p>
        </w:tc>
        <w:tc>
          <w:tcPr>
            <w:tcW w:w="2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1,666 </w:t>
            </w:r>
          </w:p>
        </w:tc>
        <w:tc>
          <w:tcPr>
            <w:tcW w:w="2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4,144</w:t>
            </w:r>
            <w:r>
              <w:rPr>
                <w:color w:val="000000"/>
              </w:rPr>
              <w:t>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5,089 </w:t>
            </w:r>
          </w:p>
        </w:tc>
        <w:tc>
          <w:tcPr>
            <w:tcW w:w="3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18"/>
              </w:rPr>
              <w:t>Transaction costs</w:t>
            </w:r>
            <w:r>
              <w:rPr>
                <w:rFonts w:ascii="Helvetica;sans-serif" w:hAnsi="Helvetica;sans-serif"/>
                <w:b w:val="false"/>
                <w:color w:val="000000"/>
                <w:sz w:val="12"/>
              </w:rPr>
              <w:t>(1)</w:t>
            </w:r>
          </w:p>
        </w:tc>
        <w:tc>
          <w:tcPr>
            <w:tcW w:w="81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22</w:t>
            </w:r>
            <w:r>
              <w:rPr>
                <w:color w:val="000000"/>
              </w:rPr>
              <w:t> </w:t>
            </w:r>
          </w:p>
        </w:tc>
        <w:tc>
          <w:tcPr>
            <w:tcW w:w="2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26 </w:t>
            </w:r>
          </w:p>
        </w:tc>
        <w:tc>
          <w:tcPr>
            <w:tcW w:w="2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73</w:t>
            </w:r>
            <w:r>
              <w:rPr>
                <w:color w:val="000000"/>
              </w:rPr>
              <w:t>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82 </w:t>
            </w:r>
          </w:p>
        </w:tc>
        <w:tc>
          <w:tcPr>
            <w:tcW w:w="3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18"/>
              </w:rPr>
              <w:t>Transaction-related costs</w:t>
            </w:r>
            <w:r>
              <w:rPr>
                <w:rFonts w:ascii="Helvetica;sans-serif" w:hAnsi="Helvetica;sans-serif"/>
                <w:b w:val="false"/>
                <w:color w:val="000000"/>
                <w:sz w:val="12"/>
              </w:rPr>
              <w:t>(2)</w:t>
            </w:r>
          </w:p>
        </w:tc>
        <w:tc>
          <w:tcPr>
            <w:tcW w:w="81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4</w:t>
            </w:r>
            <w:r>
              <w:rPr>
                <w:color w:val="000000"/>
              </w:rPr>
              <w:t> </w:t>
            </w:r>
          </w:p>
        </w:tc>
        <w:tc>
          <w:tcPr>
            <w:tcW w:w="2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90 </w:t>
            </w:r>
          </w:p>
        </w:tc>
        <w:tc>
          <w:tcPr>
            <w:tcW w:w="2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4</w:t>
            </w:r>
            <w:r>
              <w:rPr>
                <w:color w:val="000000"/>
              </w:rPr>
              <w:t>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166 </w:t>
            </w:r>
          </w:p>
        </w:tc>
        <w:tc>
          <w:tcPr>
            <w:tcW w:w="3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18"/>
              </w:rPr>
              <w:t xml:space="preserve">Other adjustments </w:t>
            </w:r>
            <w:r>
              <w:rPr>
                <w:rFonts w:ascii="Helvetica;sans-serif" w:hAnsi="Helvetica;sans-serif"/>
                <w:b w:val="false"/>
                <w:color w:val="000000"/>
                <w:sz w:val="12"/>
              </w:rPr>
              <w:t>(3)</w:t>
            </w:r>
          </w:p>
        </w:tc>
        <w:tc>
          <w:tcPr>
            <w:tcW w:w="81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61</w:t>
            </w:r>
            <w:r>
              <w:rPr>
                <w:color w:val="000000"/>
              </w:rPr>
              <w:t> </w:t>
            </w:r>
          </w:p>
        </w:tc>
        <w:tc>
          <w:tcPr>
            <w:tcW w:w="2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8"/>
              </w:rPr>
            </w:pPr>
            <w:r>
              <w:rPr>
                <w:rFonts w:ascii="Helvetica;sans-serif" w:hAnsi="Helvetica;sans-serif"/>
                <w:b/>
                <w:color w:val="000000"/>
                <w:sz w:val="18"/>
              </w:rPr>
              <w:t>(7)</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29 </w:t>
            </w:r>
          </w:p>
        </w:tc>
        <w:tc>
          <w:tcPr>
            <w:tcW w:w="3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8"/>
              </w:rPr>
            </w:pPr>
            <w:r>
              <w:rPr>
                <w:rFonts w:ascii="Helvetica;sans-serif" w:hAnsi="Helvetica;sans-serif"/>
                <w:b/>
                <w:color w:val="000000"/>
                <w:sz w:val="18"/>
              </w:rPr>
              <w:t>Adjusted EBITDA</w:t>
            </w:r>
          </w:p>
        </w:tc>
        <w:tc>
          <w:tcPr>
            <w:tcW w:w="81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$9,106</w:t>
            </w:r>
            <w:r>
              <w:rPr>
                <w:color w:val="000000"/>
              </w:rPr>
              <w:t> </w:t>
            </w:r>
          </w:p>
        </w:tc>
        <w:tc>
          <w:tcPr>
            <w:tcW w:w="27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$9,669 </w:t>
            </w:r>
          </w:p>
        </w:tc>
        <w:tc>
          <w:tcPr>
            <w:tcW w:w="27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$25,938</w:t>
            </w:r>
            <w:r>
              <w:rPr>
                <w:color w:val="000000"/>
              </w:rPr>
              <w:t> </w:t>
            </w:r>
          </w:p>
        </w:tc>
        <w:tc>
          <w:tcPr>
            <w:tcW w:w="2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$29,484 </w:t>
            </w:r>
          </w:p>
        </w:tc>
        <w:tc>
          <w:tcPr>
            <w:tcW w:w="3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609"/>
        <w:gridCol w:w="215"/>
        <w:gridCol w:w="161"/>
        <w:gridCol w:w="430"/>
        <w:gridCol w:w="430"/>
        <w:gridCol w:w="430"/>
        <w:gridCol w:w="717"/>
        <w:gridCol w:w="306"/>
        <w:gridCol w:w="228"/>
        <w:gridCol w:w="228"/>
        <w:gridCol w:w="228"/>
        <w:gridCol w:w="228"/>
        <w:gridCol w:w="702"/>
        <w:gridCol w:w="303"/>
        <w:gridCol w:w="228"/>
        <w:gridCol w:w="214"/>
        <w:gridCol w:w="214"/>
        <w:gridCol w:w="214"/>
        <w:gridCol w:w="214"/>
        <w:gridCol w:w="214"/>
        <w:gridCol w:w="214"/>
        <w:gridCol w:w="815"/>
        <w:gridCol w:w="328"/>
        <w:gridCol w:w="221"/>
        <w:gridCol w:w="221"/>
        <w:gridCol w:w="221"/>
        <w:gridCol w:w="221"/>
        <w:gridCol w:w="800"/>
        <w:gridCol w:w="324"/>
        <w:gridCol w:w="327"/>
      </w:tblGrid>
      <w:tr>
        <w:trPr/>
        <w:tc>
          <w:tcPr>
            <w:tcW w:w="6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828282"/>
                <w:sz w:val="20"/>
              </w:rPr>
            </w:pPr>
            <w:r>
              <w:rPr>
                <w:rFonts w:ascii="Helvetica;sans-serif" w:hAnsi="Helvetica;sans-serif"/>
                <w:b/>
                <w:color w:val="828282"/>
                <w:sz w:val="20"/>
              </w:rPr>
              <w:t>Reconciliation from Net Cash Provided by Operating Activities to Free Cash Flow (Unaudited)</w:t>
            </w:r>
          </w:p>
        </w:tc>
      </w:tr>
      <w:tr>
        <w:trPr/>
        <w:tc>
          <w:tcPr>
            <w:tcW w:w="985" w:type="dxa"/>
            <w:gridSpan w:val="3"/>
            <w:tcBorders>
              <w:top w:val="single" w:sz="8" w:space="0" w:color="004EA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4EA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4EA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op w:val="single" w:sz="8" w:space="0" w:color="004EA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4EA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op w:val="single" w:sz="8" w:space="0" w:color="004EA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op w:val="single" w:sz="8" w:space="0" w:color="004EA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4EA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op w:val="single" w:sz="8" w:space="0" w:color="004EA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op w:val="single" w:sz="8" w:space="0" w:color="004EA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8"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 September 30,</w:t>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78"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Nine Months Ended September 30,</w:t>
            </w:r>
          </w:p>
        </w:tc>
      </w:tr>
      <w:tr>
        <w:trPr/>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8" w:type="dxa"/>
            <w:gridSpan w:val="9"/>
            <w:vMerge w:val="continue"/>
            <w:tcBorders/>
            <w:tcMar>
              <w:top w:w="0" w:type="dxa"/>
              <w:left w:w="0" w:type="dxa"/>
              <w:bottom w:w="0" w:type="dxa"/>
              <w:right w:w="0" w:type="dxa"/>
            </w:tcMar>
            <w:vAlign w:val="center"/>
          </w:tcPr>
          <w:p>
            <w:pPr>
              <w:pStyle w:val="Normal"/>
              <w:bidi w:val="0"/>
              <w:jc w:val="left"/>
              <w:rPr/>
            </w:pPr>
            <w:r>
              <w:rPr/>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78"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227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(in millions)</w:t>
            </w:r>
          </w:p>
        </w:tc>
        <w:tc>
          <w:tcPr>
            <w:tcW w:w="12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8"/>
              </w:rPr>
            </w:pPr>
            <w:r>
              <w:rPr>
                <w:rFonts w:ascii="Helvetica;sans-serif" w:hAnsi="Helvetica;sans-serif"/>
                <w:b/>
                <w:color w:val="000000"/>
                <w:sz w:val="18"/>
              </w:rPr>
              <w:t>2026</w:t>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8"/>
              </w:rPr>
            </w:pPr>
            <w:r>
              <w:rPr>
                <w:rFonts w:ascii="Helvetica;sans-serif" w:hAnsi="Helvetica;sans-serif"/>
                <w:b w:val="false"/>
                <w:color w:val="000000"/>
                <w:sz w:val="18"/>
              </w:rPr>
              <w:t>2025</w:t>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8"/>
              </w:rPr>
            </w:pPr>
            <w:r>
              <w:rPr>
                <w:rFonts w:ascii="Helvetica;sans-serif" w:hAnsi="Helvetica;sans-serif"/>
                <w:b/>
                <w:color w:val="000000"/>
                <w:sz w:val="18"/>
              </w:rPr>
              <w:t>2026</w:t>
            </w:r>
          </w:p>
        </w:tc>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8"/>
              </w:rPr>
            </w:pPr>
            <w:r>
              <w:rPr>
                <w:rFonts w:ascii="Helvetica;sans-serif" w:hAnsi="Helvetica;sans-serif"/>
                <w:b w:val="false"/>
                <w:color w:val="000000"/>
                <w:sz w:val="18"/>
              </w:rPr>
              <w:t>2025</w:t>
            </w:r>
          </w:p>
        </w:tc>
      </w:tr>
      <w:tr>
        <w:trPr/>
        <w:tc>
          <w:tcPr>
            <w:tcW w:w="227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8"/>
              </w:rPr>
            </w:pPr>
            <w:r>
              <w:rPr>
                <w:rFonts w:ascii="Helvetica;sans-serif" w:hAnsi="Helvetica;sans-serif"/>
                <w:b/>
                <w:color w:val="000000"/>
                <w:sz w:val="18"/>
              </w:rPr>
              <w:t>Net cash provided by operating activities</w:t>
            </w:r>
          </w:p>
        </w:tc>
        <w:tc>
          <w:tcPr>
            <w:tcW w:w="102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$7,902</w:t>
            </w:r>
            <w:r>
              <w:rPr>
                <w:color w:val="000000"/>
              </w:rPr>
              <w:t> </w:t>
            </w:r>
          </w:p>
        </w:tc>
        <w:tc>
          <w:tcPr>
            <w:tcW w:w="22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$8,693 </w:t>
            </w:r>
          </w:p>
        </w:tc>
        <w:tc>
          <w:tcPr>
            <w:tcW w:w="22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$22,886</w:t>
            </w:r>
            <w:r>
              <w:rPr>
                <w:color w:val="000000"/>
              </w:rPr>
              <w:t> </w:t>
            </w:r>
          </w:p>
        </w:tc>
        <w:tc>
          <w:tcPr>
            <w:tcW w:w="2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$24,802 </w:t>
            </w:r>
          </w:p>
        </w:tc>
        <w:tc>
          <w:tcPr>
            <w:tcW w:w="32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Capital expenditures</w:t>
            </w:r>
          </w:p>
        </w:tc>
        <w:tc>
          <w:tcPr>
            <w:tcW w:w="10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8"/>
              </w:rPr>
            </w:pPr>
            <w:r>
              <w:rPr>
                <w:rFonts w:ascii="Helvetica;sans-serif" w:hAnsi="Helvetica;sans-serif"/>
                <w:b/>
                <w:color w:val="000000"/>
                <w:sz w:val="18"/>
              </w:rPr>
              <w:t>(3,058)</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(3,071)</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8"/>
              </w:rPr>
            </w:pPr>
            <w:r>
              <w:rPr>
                <w:rFonts w:ascii="Helvetica;sans-serif" w:hAnsi="Helvetica;sans-serif"/>
                <w:b/>
                <w:color w:val="000000"/>
                <w:sz w:val="18"/>
              </w:rPr>
              <w:t>(8,311)</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(8,001)</w:t>
            </w:r>
          </w:p>
        </w:tc>
        <w:tc>
          <w:tcPr>
            <w:tcW w:w="3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Cash paid for capitalized software and other intangible assets</w:t>
            </w:r>
          </w:p>
        </w:tc>
        <w:tc>
          <w:tcPr>
            <w:tcW w:w="10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8"/>
              </w:rPr>
            </w:pPr>
            <w:r>
              <w:rPr>
                <w:rFonts w:ascii="Helvetica;sans-serif" w:hAnsi="Helvetica;sans-serif"/>
                <w:b/>
                <w:color w:val="000000"/>
                <w:sz w:val="18"/>
              </w:rPr>
              <w:t>(633)</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(677)</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8"/>
              </w:rPr>
            </w:pPr>
            <w:r>
              <w:rPr>
                <w:rFonts w:ascii="Helvetica;sans-serif" w:hAnsi="Helvetica;sans-serif"/>
                <w:b/>
                <w:color w:val="000000"/>
                <w:sz w:val="18"/>
              </w:rPr>
              <w:t>(1,859)</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(1,934)</w:t>
            </w:r>
          </w:p>
        </w:tc>
        <w:tc>
          <w:tcPr>
            <w:tcW w:w="3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684"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451" w:type="dxa"/>
            <w:gridSpan w:val="3"/>
            <w:tcBorders/>
          </w:tcPr>
          <w:p>
            <w:pPr>
              <w:pStyle w:val="TableContents"/>
              <w:bidi w:val="0"/>
              <w:spacing w:before="0" w:after="283"/>
              <w:jc w:val="left"/>
              <w:rPr>
                <w:sz w:val="4"/>
                <w:szCs w:val="4"/>
              </w:rPr>
            </w:pPr>
            <w:r>
              <w:rPr>
                <w:sz w:val="4"/>
                <w:szCs w:val="4"/>
              </w:rPr>
            </w:r>
          </w:p>
        </w:tc>
      </w:tr>
      <w:tr>
        <w:trPr/>
        <w:tc>
          <w:tcPr>
            <w:tcW w:w="227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8"/>
              </w:rPr>
            </w:pPr>
            <w:r>
              <w:rPr>
                <w:rFonts w:ascii="Helvetica;sans-serif" w:hAnsi="Helvetica;sans-serif"/>
                <w:b/>
                <w:color w:val="000000"/>
                <w:sz w:val="18"/>
              </w:rPr>
              <w:t>Free Cash Flow</w:t>
            </w:r>
          </w:p>
        </w:tc>
        <w:tc>
          <w:tcPr>
            <w:tcW w:w="102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$4,211</w:t>
            </w:r>
            <w:r>
              <w:rPr>
                <w:color w:val="000000"/>
              </w:rPr>
              <w:t> </w:t>
            </w:r>
          </w:p>
        </w:tc>
        <w:tc>
          <w:tcPr>
            <w:tcW w:w="22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$4,945 </w:t>
            </w:r>
          </w:p>
        </w:tc>
        <w:tc>
          <w:tcPr>
            <w:tcW w:w="22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$12,716</w:t>
            </w:r>
            <w:r>
              <w:rPr>
                <w:color w:val="000000"/>
              </w:rPr>
              <w:t> </w:t>
            </w:r>
          </w:p>
        </w:tc>
        <w:tc>
          <w:tcPr>
            <w:tcW w:w="2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$14,866 </w:t>
            </w:r>
          </w:p>
        </w:tc>
        <w:tc>
          <w:tcPr>
            <w:tcW w:w="32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(1)</w:t>
            </w:r>
          </w:p>
        </w:tc>
        <w:tc>
          <w:tcPr>
            <w:tcW w:w="9220" w:type="dxa"/>
            <w:gridSpan w:val="27"/>
            <w:tcBorders/>
            <w:tcMar>
              <w:top w:w="0" w:type="dxa"/>
              <w:left w:w="0" w:type="dxa"/>
              <w:bottom w:w="0" w:type="dxa"/>
              <w:right w:w="0" w:type="dxa"/>
            </w:tcMar>
            <w:vAlign w:val="center"/>
          </w:tcPr>
          <w:p>
            <w:pPr>
              <w:pStyle w:val="TableContents"/>
              <w:bidi w:val="0"/>
              <w:spacing w:lineRule="auto" w:line="240" w:before="20" w:after="283"/>
              <w:jc w:val="both"/>
              <w:rPr>
                <w:rFonts w:ascii="Helvetica;sans-serif" w:hAnsi="Helvetica;sans-serif"/>
                <w:b w:val="false"/>
                <w:color w:val="000000"/>
                <w:sz w:val="16"/>
              </w:rPr>
            </w:pPr>
            <w:r>
              <w:rPr>
                <w:rFonts w:ascii="Helvetica;sans-serif" w:hAnsi="Helvetica;sans-serif"/>
                <w:b w:val="false"/>
                <w:color w:val="000000"/>
                <w:sz w:val="16"/>
              </w:rPr>
              <w:t>Transaction costs are incremental costs directly related to effectuating the Versant Separation and the proposed NBCUniversal Spin-off and primarily include advisory, legal and audit fees, as well as legal entity separation costs. The three and nine months ended September 30, 2026 include $22 million of transaction costs related to the proposed NBCUniversal Spin-off. The nine months ended September 30, 2026 also include $51 million of transaction costs related to the Versant Separation. The three and nine months ended September 30, 2025 include $26 million and $82 million, respectively, of transaction costs related to the Versant Separation.</w:t>
            </w:r>
          </w:p>
        </w:tc>
      </w:tr>
      <w:tr>
        <w:trPr/>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(2)</w:t>
            </w:r>
          </w:p>
        </w:tc>
        <w:tc>
          <w:tcPr>
            <w:tcW w:w="9220" w:type="dxa"/>
            <w:gridSpan w:val="27"/>
            <w:tcBorders/>
            <w:tcMar>
              <w:top w:w="0" w:type="dxa"/>
              <w:left w:w="0" w:type="dxa"/>
              <w:bottom w:w="0" w:type="dxa"/>
              <w:right w:w="0" w:type="dxa"/>
            </w:tcMar>
            <w:vAlign w:val="center"/>
          </w:tcPr>
          <w:p>
            <w:pPr>
              <w:pStyle w:val="TableContents"/>
              <w:bidi w:val="0"/>
              <w:spacing w:lineRule="auto" w:line="240" w:before="20" w:after="283"/>
              <w:jc w:val="both"/>
              <w:rPr>
                <w:rFonts w:ascii="Helvetica;sans-serif" w:hAnsi="Helvetica;sans-serif"/>
                <w:b w:val="false"/>
                <w:color w:val="000000"/>
                <w:sz w:val="16"/>
              </w:rPr>
            </w:pPr>
            <w:r>
              <w:rPr>
                <w:rFonts w:ascii="Helvetica;sans-serif" w:hAnsi="Helvetica;sans-serif"/>
                <w:b w:val="false"/>
                <w:color w:val="000000"/>
                <w:sz w:val="16"/>
              </w:rPr>
              <w:t xml:space="preserve">Transaction-related costs are incremental costs incurred related to the Versant Separation and the proposed NBCUniversal Spin-off, including costs that reflect strategic decisions about how the related stand-alone businesses will be structured or operated, which may be different than if they remained part of Comcast. Transaction-related costs primarily include certain separation-related employee compensation, severance and retention bonuses; IT separation and implementation costs; and other one-time costs. The three and nine months ended September 30, 2026 include $4 million of transaction-related costs related to the proposed NBCUniversal Spin-off. The three and nine months ended September 30, 2025 include $90 million and $166 million, respectively, of transaction-related costs related to the Versant Separation. </w:t>
            </w:r>
          </w:p>
        </w:tc>
      </w:tr>
      <w:tr>
        <w:trPr/>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(3)</w:t>
            </w:r>
          </w:p>
        </w:tc>
        <w:tc>
          <w:tcPr>
            <w:tcW w:w="9220" w:type="dxa"/>
            <w:gridSpan w:val="27"/>
            <w:tcBorders/>
            <w:tcMar>
              <w:top w:w="0" w:type="dxa"/>
              <w:left w:w="0" w:type="dxa"/>
              <w:bottom w:w="0" w:type="dxa"/>
              <w:right w:w="0" w:type="dxa"/>
            </w:tcMar>
            <w:vAlign w:val="center"/>
          </w:tcPr>
          <w:p>
            <w:pPr>
              <w:pStyle w:val="TableContents"/>
              <w:bidi w:val="0"/>
              <w:spacing w:lineRule="auto" w:line="240" w:before="20" w:after="283"/>
              <w:jc w:val="both"/>
              <w:rPr>
                <w:rFonts w:ascii="Helvetica;sans-serif" w:hAnsi="Helvetica;sans-serif"/>
                <w:b w:val="false"/>
                <w:color w:val="000000"/>
                <w:sz w:val="16"/>
              </w:rPr>
            </w:pPr>
            <w:r>
              <w:rPr>
                <w:rFonts w:ascii="Helvetica;sans-serif" w:hAnsi="Helvetica;sans-serif"/>
                <w:b w:val="false"/>
                <w:color w:val="000000"/>
                <w:sz w:val="16"/>
              </w:rPr>
              <w:t>Amounts represent the impact of certain other events, gains, losses or other charges that are excluded from Adjusted EBITDA. The three and nine months ended September 30, 2026 include certain share-based compensation expenses and costs related to our investment portfolio. The nine months ended September 30, 2026 also include a gain related to a legal settlement. The three and nine months ended September 30, 2025 include costs related to our investment portfolio.</w:t>
            </w:r>
          </w:p>
        </w:tc>
      </w:tr>
      <w:tr>
        <w:trPr/>
        <w:tc>
          <w:tcPr>
            <w:tcW w:w="985"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684"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4120" w:type="dxa"/>
            <w:gridSpan w:val="12"/>
            <w:tcBorders/>
          </w:tcPr>
          <w:p>
            <w:pPr>
              <w:pStyle w:val="TableContents"/>
              <w:bidi w:val="0"/>
              <w:spacing w:before="0" w:after="283"/>
              <w:jc w:val="left"/>
              <w:rPr>
                <w:sz w:val="4"/>
                <w:szCs w:val="4"/>
              </w:rPr>
            </w:pPr>
            <w:r>
              <w:rPr>
                <w:sz w:val="4"/>
                <w:szCs w:val="4"/>
              </w:rPr>
            </w:r>
          </w:p>
        </w:tc>
      </w:tr>
      <w:tr>
        <w:trPr/>
        <w:tc>
          <w:tcPr>
            <w:tcW w:w="985"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684" w:type="dxa"/>
            <w:gridSpan w:val="3"/>
            <w:tcBorders/>
            <w:vAlign w:val="center"/>
          </w:tcPr>
          <w:p>
            <w:pPr>
              <w:pStyle w:val="TableContents"/>
              <w:bidi w:val="0"/>
              <w:spacing w:before="0" w:after="283"/>
              <w:jc w:val="left"/>
              <w:rPr>
                <w:sz w:val="4"/>
                <w:szCs w:val="4"/>
              </w:rPr>
            </w:pPr>
            <w:r>
              <w:rPr>
                <w:sz w:val="4"/>
                <w:szCs w:val="4"/>
              </w:rPr>
            </w:r>
          </w:p>
        </w:tc>
        <w:tc>
          <w:tcPr>
            <w:tcW w:w="5995" w:type="dxa"/>
            <w:gridSpan w:val="18"/>
            <w:tcBorders/>
          </w:tcPr>
          <w:p>
            <w:pPr>
              <w:pStyle w:val="TableContents"/>
              <w:bidi w:val="0"/>
              <w:spacing w:before="0" w:after="283"/>
              <w:jc w:val="left"/>
              <w:rPr>
                <w:sz w:val="4"/>
                <w:szCs w:val="4"/>
              </w:rPr>
            </w:pPr>
            <w:r>
              <w:rPr>
                <w:sz w:val="4"/>
                <w:szCs w:val="4"/>
              </w:rPr>
            </w:r>
          </w:p>
        </w:tc>
      </w:tr>
      <w:tr>
        <w:trPr/>
        <w:tc>
          <w:tcPr>
            <w:tcW w:w="985"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684"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451" w:type="dxa"/>
            <w:gridSpan w:val="3"/>
            <w:tcBorders/>
            <w:vAlign w:val="center"/>
          </w:tcPr>
          <w:p>
            <w:pPr>
              <w:pStyle w:val="TableContents"/>
              <w:bidi w:val="0"/>
              <w:spacing w:before="0" w:after="283"/>
              <w:jc w:val="left"/>
              <w:rPr>
                <w:sz w:val="4"/>
                <w:szCs w:val="4"/>
              </w:rPr>
            </w:pPr>
            <w:r>
              <w:rPr>
                <w:sz w:val="4"/>
                <w:szCs w:val="4"/>
              </w:rPr>
            </w:r>
          </w:p>
        </w:tc>
      </w:tr>
      <w:tr>
        <w:trPr/>
        <w:tc>
          <w:tcPr>
            <w:tcW w:w="985"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684"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451" w:type="dxa"/>
            <w:gridSpan w:val="3"/>
            <w:tcBorders/>
            <w:vAlign w:val="center"/>
          </w:tcPr>
          <w:p>
            <w:pPr>
              <w:pStyle w:val="TableContents"/>
              <w:bidi w:val="0"/>
              <w:spacing w:before="0" w:after="283"/>
              <w:jc w:val="left"/>
              <w:rPr>
                <w:sz w:val="4"/>
                <w:szCs w:val="4"/>
              </w:rPr>
            </w:pPr>
            <w:r>
              <w:rPr>
                <w:sz w:val="4"/>
                <w:szCs w:val="4"/>
              </w:rPr>
            </w:r>
          </w:p>
        </w:tc>
      </w:tr>
      <w:tr>
        <w:trPr/>
        <w:tc>
          <w:tcPr>
            <w:tcW w:w="985"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684"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451" w:type="dxa"/>
            <w:gridSpan w:val="3"/>
            <w:tcBorders/>
            <w:vAlign w:val="center"/>
          </w:tcPr>
          <w:p>
            <w:pPr>
              <w:pStyle w:val="TableContents"/>
              <w:bidi w:val="0"/>
              <w:spacing w:before="0" w:after="283"/>
              <w:jc w:val="left"/>
              <w:rPr>
                <w:sz w:val="4"/>
                <w:szCs w:val="4"/>
              </w:rPr>
            </w:pPr>
            <w:r>
              <w:rPr>
                <w:sz w:val="4"/>
                <w:szCs w:val="4"/>
              </w:rPr>
            </w:r>
          </w:p>
        </w:tc>
      </w:tr>
      <w:tr>
        <w:trPr/>
        <w:tc>
          <w:tcPr>
            <w:tcW w:w="985"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684"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451" w:type="dxa"/>
            <w:gridSpan w:val="3"/>
            <w:tcBorders/>
            <w:vAlign w:val="center"/>
          </w:tcPr>
          <w:p>
            <w:pPr>
              <w:pStyle w:val="TableContents"/>
              <w:bidi w:val="0"/>
              <w:spacing w:before="0" w:after="283"/>
              <w:jc w:val="left"/>
              <w:rPr>
                <w:sz w:val="4"/>
                <w:szCs w:val="4"/>
              </w:rPr>
            </w:pPr>
            <w:r>
              <w:rPr>
                <w:sz w:val="4"/>
                <w:szCs w:val="4"/>
              </w:rPr>
            </w:r>
          </w:p>
        </w:tc>
      </w:tr>
      <w:tr>
        <w:trPr/>
        <w:tc>
          <w:tcPr>
            <w:tcW w:w="985"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684"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451" w:type="dxa"/>
            <w:gridSpan w:val="3"/>
            <w:tcBorders/>
            <w:vAlign w:val="center"/>
          </w:tcPr>
          <w:p>
            <w:pPr>
              <w:pStyle w:val="TableContents"/>
              <w:bidi w:val="0"/>
              <w:spacing w:before="0" w:after="283"/>
              <w:jc w:val="left"/>
              <w:rPr>
                <w:sz w:val="4"/>
                <w:szCs w:val="4"/>
              </w:rPr>
            </w:pPr>
            <w:r>
              <w:rPr>
                <w:sz w:val="4"/>
                <w:szCs w:val="4"/>
              </w:rPr>
            </w:r>
          </w:p>
        </w:tc>
      </w:tr>
      <w:tr>
        <w:trPr/>
        <w:tc>
          <w:tcPr>
            <w:tcW w:w="985"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684"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451" w:type="dxa"/>
            <w:gridSpan w:val="3"/>
            <w:tcBorders/>
            <w:vAlign w:val="center"/>
          </w:tcPr>
          <w:p>
            <w:pPr>
              <w:pStyle w:val="TableContents"/>
              <w:bidi w:val="0"/>
              <w:spacing w:before="0" w:after="283"/>
              <w:jc w:val="left"/>
              <w:rPr>
                <w:sz w:val="4"/>
                <w:szCs w:val="4"/>
              </w:rPr>
            </w:pPr>
            <w:r>
              <w:rPr>
                <w:sz w:val="4"/>
                <w:szCs w:val="4"/>
              </w:rPr>
            </w:r>
          </w:p>
        </w:tc>
      </w:tr>
      <w:tr>
        <w:trPr/>
        <w:tc>
          <w:tcPr>
            <w:tcW w:w="985"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684"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451" w:type="dxa"/>
            <w:gridSpan w:val="3"/>
            <w:tcBorders/>
            <w:vAlign w:val="center"/>
          </w:tcPr>
          <w:p>
            <w:pPr>
              <w:pStyle w:val="TableContents"/>
              <w:bidi w:val="0"/>
              <w:spacing w:before="0" w:after="283"/>
              <w:jc w:val="left"/>
              <w:rPr>
                <w:sz w:val="4"/>
                <w:szCs w:val="4"/>
              </w:rPr>
            </w:pPr>
            <w:r>
              <w:rPr>
                <w:sz w:val="4"/>
                <w:szCs w:val="4"/>
              </w:rPr>
            </w:r>
          </w:p>
        </w:tc>
      </w:tr>
      <w:tr>
        <w:trPr/>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0" w:type="dxa"/>
            <w:gridSpan w:val="27"/>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16840"/>
                <wp:effectExtent l="0" t="0" r="0" b="0"/>
                <wp:wrapNone/>
                <wp:docPr id="22" name="Frame1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16"/>
                              </w:rPr>
                            </w:pPr>
                            <w:r>
                              <w:rPr>
                                <w:rFonts w:ascii="Helvetica;sans-serif" w:hAnsi="Helvetica;sans-serif"/>
                                <w:b w:val="false"/>
                                <w:color w:val="000000"/>
                                <w:sz w:val="16"/>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16"/>
                        </w:rPr>
                      </w:pPr>
                      <w:r>
                        <w:rPr>
                          <w:rFonts w:ascii="Helvetica;sans-serif" w:hAnsi="Helvetica;sans-serif"/>
                          <w:b w:val="false"/>
                          <w:color w:val="000000"/>
                          <w:sz w:val="16"/>
                        </w:rPr>
                        <w:t>14</w:t>
                      </w:r>
                    </w:p>
                  </w:txbxContent>
                </v:textbox>
                <w10:wrap type="none"/>
              </v:rect>
            </w:pict>
          </mc:Fallback>
        </mc:AlternateContent>
      </w:r>
    </w:p>
    <w:tbl>
      <w:tblPr>
        <w:tblW w:w="10610" w:type="dxa"/>
        <w:jc w:val="center"/>
        <w:tblInd w:w="0" w:type="dxa"/>
        <w:tblLayout w:type="fixed"/>
        <w:tblCellMar>
          <w:top w:w="28" w:type="dxa"/>
          <w:left w:w="28" w:type="dxa"/>
          <w:bottom w:w="28" w:type="dxa"/>
          <w:right w:w="28" w:type="dxa"/>
        </w:tblCellMar>
      </w:tblPr>
      <w:tblGrid>
        <w:gridCol w:w="1012"/>
        <w:gridCol w:w="349"/>
        <w:gridCol w:w="350"/>
        <w:gridCol w:w="209"/>
        <w:gridCol w:w="212"/>
        <w:gridCol w:w="400"/>
        <w:gridCol w:w="109"/>
        <w:gridCol w:w="109"/>
        <w:gridCol w:w="109"/>
        <w:gridCol w:w="209"/>
        <w:gridCol w:w="212"/>
        <w:gridCol w:w="295"/>
        <w:gridCol w:w="109"/>
        <w:gridCol w:w="109"/>
        <w:gridCol w:w="109"/>
        <w:gridCol w:w="225"/>
        <w:gridCol w:w="225"/>
        <w:gridCol w:w="226"/>
        <w:gridCol w:w="109"/>
        <w:gridCol w:w="109"/>
        <w:gridCol w:w="109"/>
        <w:gridCol w:w="255"/>
        <w:gridCol w:w="256"/>
        <w:gridCol w:w="193"/>
        <w:gridCol w:w="109"/>
        <w:gridCol w:w="109"/>
        <w:gridCol w:w="109"/>
        <w:gridCol w:w="109"/>
        <w:gridCol w:w="109"/>
        <w:gridCol w:w="109"/>
        <w:gridCol w:w="263"/>
        <w:gridCol w:w="263"/>
        <w:gridCol w:w="400"/>
        <w:gridCol w:w="109"/>
        <w:gridCol w:w="109"/>
        <w:gridCol w:w="109"/>
        <w:gridCol w:w="263"/>
        <w:gridCol w:w="263"/>
        <w:gridCol w:w="317"/>
        <w:gridCol w:w="114"/>
        <w:gridCol w:w="114"/>
        <w:gridCol w:w="114"/>
        <w:gridCol w:w="260"/>
        <w:gridCol w:w="260"/>
        <w:gridCol w:w="261"/>
        <w:gridCol w:w="114"/>
        <w:gridCol w:w="114"/>
        <w:gridCol w:w="114"/>
        <w:gridCol w:w="262"/>
        <w:gridCol w:w="264"/>
        <w:gridCol w:w="260"/>
      </w:tblGrid>
      <w:tr>
        <w:trPr/>
        <w:tc>
          <w:tcPr>
            <w:tcW w:w="1012"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4" w:type="dxa"/>
            <w:gridSpan w:val="15"/>
            <w:vMerge w:val="restart"/>
            <w:tcBorders>
              <w:bottom w:val="single" w:sz="8" w:space="0" w:color="004EA8"/>
            </w:tcBorders>
            <w:tcMar>
              <w:top w:w="0" w:type="dxa"/>
              <w:left w:w="0" w:type="dxa"/>
              <w:right w:w="0" w:type="dxa"/>
            </w:tcMar>
            <w:vAlign w:val="center"/>
          </w:tcPr>
          <w:p>
            <w:pPr>
              <w:pStyle w:val="TableContents"/>
              <w:bidi w:val="0"/>
              <w:spacing w:before="0" w:after="0"/>
              <w:jc w:val="right"/>
              <w:rPr/>
            </w:pPr>
            <w:r>
              <w:rPr/>
              <w:drawing>
                <wp:inline distT="0" distB="0" distL="0" distR="0">
                  <wp:extent cx="1143000" cy="457200"/>
                  <wp:effectExtent l="0" t="0" r="0" b="0"/>
                  <wp:docPr id="23"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6" descr=""/>
                          <pic:cNvPicPr>
                            <a:picLocks noChangeAspect="1" noChangeArrowheads="1"/>
                          </pic:cNvPicPr>
                        </pic:nvPicPr>
                        <pic:blipFill>
                          <a:blip r:embed="rId7"/>
                          <a:stretch>
                            <a:fillRect/>
                          </a:stretch>
                        </pic:blipFill>
                        <pic:spPr bwMode="auto">
                          <a:xfrm>
                            <a:off x="0" y="0"/>
                            <a:ext cx="1143000" cy="457200"/>
                          </a:xfrm>
                          <a:prstGeom prst="rect">
                            <a:avLst/>
                          </a:prstGeom>
                        </pic:spPr>
                      </pic:pic>
                    </a:graphicData>
                  </a:graphic>
                </wp:inline>
              </w:drawing>
            </w:r>
          </w:p>
        </w:tc>
      </w:tr>
      <w:tr>
        <w:trPr/>
        <w:tc>
          <w:tcPr>
            <w:tcW w:w="1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828282"/>
                <w:sz w:val="28"/>
              </w:rPr>
            </w:pPr>
            <w:r>
              <w:rPr>
                <w:rFonts w:ascii="Helvetica;sans-serif" w:hAnsi="Helvetica;sans-serif"/>
                <w:b/>
                <w:color w:val="828282"/>
                <w:sz w:val="28"/>
              </w:rPr>
              <w:t>TABLE 5</w:t>
            </w:r>
          </w:p>
        </w:tc>
        <w:tc>
          <w:tcPr>
            <w:tcW w:w="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4" w:type="dxa"/>
            <w:gridSpan w:val="15"/>
            <w:vMerge w:val="continue"/>
            <w:tcBorders>
              <w:bottom w:val="single" w:sz="8" w:space="0" w:color="004EA8"/>
            </w:tcBorders>
            <w:tcMar>
              <w:top w:w="0" w:type="dxa"/>
              <w:left w:w="0" w:type="dxa"/>
              <w:right w:w="0" w:type="dxa"/>
            </w:tcMar>
            <w:vAlign w:val="center"/>
          </w:tcPr>
          <w:p>
            <w:pPr>
              <w:pStyle w:val="Normal"/>
              <w:bidi w:val="0"/>
              <w:jc w:val="left"/>
              <w:rPr/>
            </w:pPr>
            <w:r>
              <w:rPr/>
            </w:r>
          </w:p>
        </w:tc>
      </w:tr>
      <w:tr>
        <w:trPr/>
        <w:tc>
          <w:tcPr>
            <w:tcW w:w="1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4" w:type="dxa"/>
            <w:gridSpan w:val="15"/>
            <w:vMerge w:val="continue"/>
            <w:tcBorders>
              <w:bottom w:val="single" w:sz="8" w:space="0" w:color="004EA8"/>
            </w:tcBorders>
            <w:tcMar>
              <w:top w:w="0" w:type="dxa"/>
              <w:left w:w="0" w:type="dxa"/>
              <w:right w:w="0" w:type="dxa"/>
            </w:tcMar>
            <w:vAlign w:val="center"/>
          </w:tcPr>
          <w:p>
            <w:pPr>
              <w:pStyle w:val="Normal"/>
              <w:bidi w:val="0"/>
              <w:jc w:val="left"/>
              <w:rPr/>
            </w:pPr>
            <w:r>
              <w:rPr/>
            </w:r>
          </w:p>
        </w:tc>
      </w:tr>
      <w:tr>
        <w:trPr/>
        <w:tc>
          <w:tcPr>
            <w:tcW w:w="1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4" w:type="dxa"/>
            <w:gridSpan w:val="15"/>
            <w:vMerge w:val="continue"/>
            <w:tcBorders>
              <w:bottom w:val="single" w:sz="8" w:space="0" w:color="004EA8"/>
            </w:tcBorders>
            <w:tcMar>
              <w:top w:w="0" w:type="dxa"/>
              <w:left w:w="0" w:type="dxa"/>
              <w:right w:w="0" w:type="dxa"/>
            </w:tcMar>
            <w:vAlign w:val="center"/>
          </w:tcPr>
          <w:p>
            <w:pPr>
              <w:pStyle w:val="Normal"/>
              <w:bidi w:val="0"/>
              <w:jc w:val="left"/>
              <w:rPr/>
            </w:pPr>
            <w:r>
              <w:rPr/>
            </w:r>
          </w:p>
        </w:tc>
      </w:tr>
      <w:tr>
        <w:trPr/>
        <w:tc>
          <w:tcPr>
            <w:tcW w:w="7189" w:type="dxa"/>
            <w:gridSpan w:val="3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828282"/>
                <w:sz w:val="20"/>
              </w:rPr>
            </w:pPr>
            <w:r>
              <w:rPr>
                <w:rFonts w:ascii="Helvetica;sans-serif" w:hAnsi="Helvetica;sans-serif"/>
                <w:b/>
                <w:color w:val="828282"/>
                <w:sz w:val="20"/>
              </w:rPr>
              <w:t>Reconciliations of Adjusted Net Income and Adjusted EPS (Unaudited)</w:t>
            </w:r>
          </w:p>
        </w:tc>
        <w:tc>
          <w:tcPr>
            <w:tcW w:w="327" w:type="dxa"/>
            <w:gridSpan w:val="3"/>
            <w:tcBorders>
              <w:bottom w:val="single" w:sz="8" w:space="0" w:color="004EA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094" w:type="dxa"/>
            <w:gridSpan w:val="15"/>
            <w:vMerge w:val="continue"/>
            <w:tcBorders>
              <w:bottom w:val="single" w:sz="8" w:space="0" w:color="004EA8"/>
            </w:tcBorders>
            <w:tcMar>
              <w:top w:w="0" w:type="dxa"/>
              <w:left w:w="0" w:type="dxa"/>
              <w:right w:w="0" w:type="dxa"/>
            </w:tcMar>
            <w:vAlign w:val="center"/>
          </w:tcPr>
          <w:p>
            <w:pPr>
              <w:pStyle w:val="Normal"/>
              <w:bidi w:val="0"/>
              <w:jc w:val="left"/>
              <w:rPr/>
            </w:pPr>
            <w:r>
              <w:rPr/>
            </w:r>
          </w:p>
        </w:tc>
      </w:tr>
      <w:tr>
        <w:trPr/>
        <w:tc>
          <w:tcPr>
            <w:tcW w:w="1711" w:type="dxa"/>
            <w:gridSpan w:val="3"/>
            <w:tcBorders>
              <w:top w:val="single" w:sz="8" w:space="0" w:color="004EA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8" w:type="dxa"/>
            <w:gridSpan w:val="21"/>
            <w:tcBorders>
              <w:top w:val="single" w:sz="8" w:space="0" w:color="004EA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4EA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4EA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7" w:type="dxa"/>
            <w:gridSpan w:val="21"/>
            <w:tcBorders>
              <w:top w:val="single" w:sz="8" w:space="0" w:color="004EA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8" w:type="dxa"/>
            <w:gridSpan w:val="21"/>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8"/>
              </w:rPr>
            </w:pPr>
            <w:r>
              <w:rPr>
                <w:rFonts w:ascii="Helvetica;sans-serif" w:hAnsi="Helvetica;sans-serif"/>
                <w:b/>
                <w:color w:val="000000"/>
                <w:sz w:val="18"/>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347" w:type="dxa"/>
            <w:gridSpan w:val="21"/>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8"/>
              </w:rPr>
            </w:pPr>
            <w:r>
              <w:rPr>
                <w:rFonts w:ascii="Helvetica;sans-serif" w:hAnsi="Helvetica;sans-serif"/>
                <w:b/>
                <w:color w:val="000000"/>
                <w:sz w:val="18"/>
              </w:rPr>
              <w:t>Nine Months Ended</w:t>
              <w:br/>
              <w:t>September 30,</w:t>
            </w:r>
          </w:p>
        </w:tc>
      </w:tr>
      <w:tr>
        <w:trPr/>
        <w:tc>
          <w:tcPr>
            <w:tcW w:w="1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8" w:type="dxa"/>
            <w:gridSpan w:val="21"/>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347" w:type="dxa"/>
            <w:gridSpan w:val="21"/>
            <w:vMerge w:val="continue"/>
            <w:tcBorders/>
            <w:tcMar>
              <w:top w:w="0" w:type="dxa"/>
              <w:left w:w="0" w:type="dxa"/>
              <w:bottom w:w="0" w:type="dxa"/>
              <w:right w:w="0" w:type="dxa"/>
            </w:tcMar>
            <w:vAlign w:val="center"/>
          </w:tcPr>
          <w:p>
            <w:pPr>
              <w:pStyle w:val="Normal"/>
              <w:bidi w:val="0"/>
              <w:jc w:val="left"/>
              <w:rPr/>
            </w:pPr>
            <w:r>
              <w:rPr/>
            </w:r>
          </w:p>
        </w:tc>
      </w:tr>
      <w:tr>
        <w:trPr/>
        <w:tc>
          <w:tcPr>
            <w:tcW w:w="1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8"/>
              </w:rPr>
            </w:pPr>
            <w:r>
              <w:rPr>
                <w:rFonts w:ascii="Helvetica;sans-serif" w:hAnsi="Helvetica;sans-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8"/>
              </w:rPr>
            </w:pPr>
            <w:r>
              <w:rPr>
                <w:rFonts w:ascii="Helvetica;sans-serif" w:hAnsi="Helvetica;sans-serif"/>
                <w:b w:val="false"/>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8"/>
              </w:rPr>
            </w:pPr>
            <w:r>
              <w:rPr>
                <w:rFonts w:ascii="Helvetica;sans-serif" w:hAnsi="Helvetica;sans-serif"/>
                <w:b/>
                <w:color w:val="000000"/>
                <w:sz w:val="18"/>
              </w:rPr>
              <w:t>2026</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8"/>
              </w:rPr>
            </w:pPr>
            <w:r>
              <w:rPr>
                <w:rFonts w:ascii="Helvetica;sans-serif" w:hAnsi="Helvetica;sans-serif"/>
                <w:b w:val="false"/>
                <w:color w:val="000000"/>
                <w:sz w:val="18"/>
              </w:rPr>
              <w:t>2025</w:t>
            </w:r>
          </w:p>
        </w:tc>
      </w:tr>
      <w:tr>
        <w:trPr/>
        <w:tc>
          <w:tcPr>
            <w:tcW w:w="1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(in millions, except per share data)</w:t>
            </w:r>
          </w:p>
        </w:tc>
        <w:tc>
          <w:tcPr>
            <w:tcW w:w="8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8"/>
              </w:rPr>
            </w:pPr>
            <w:r>
              <w:rPr>
                <w:rFonts w:ascii="Helvetica;sans-serif" w:hAnsi="Helvetica;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8"/>
              </w:rPr>
            </w:pPr>
            <w:r>
              <w:rPr>
                <w:rFonts w:ascii="Helvetica;sans-serif" w:hAnsi="Helvetica;sans-serif"/>
                <w:b/>
                <w:color w:val="000000"/>
                <w:sz w:val="18"/>
              </w:rPr>
              <w:t>EPS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8"/>
              </w:rPr>
            </w:pPr>
            <w:r>
              <w:rPr>
                <w:rFonts w:ascii="Helvetica;sans-serif" w:hAnsi="Helvetica;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8"/>
              </w:rPr>
            </w:pPr>
            <w:r>
              <w:rPr>
                <w:rFonts w:ascii="Helvetica;sans-serif" w:hAnsi="Helvetica;sans-serif"/>
                <w:b w:val="false"/>
                <w:color w:val="000000"/>
                <w:sz w:val="18"/>
              </w:rPr>
              <w:t>EPS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8"/>
              </w:rPr>
            </w:pPr>
            <w:r>
              <w:rPr>
                <w:rFonts w:ascii="Helvetica;sans-serif" w:hAnsi="Helvetica;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8"/>
              </w:rPr>
            </w:pPr>
            <w:r>
              <w:rPr>
                <w:rFonts w:ascii="Helvetica;sans-serif" w:hAnsi="Helvetica;sans-serif"/>
                <w:b/>
                <w:color w:val="000000"/>
                <w:sz w:val="18"/>
              </w:rPr>
              <w:t>EPS</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8"/>
              </w:rPr>
            </w:pPr>
            <w:r>
              <w:rPr>
                <w:rFonts w:ascii="Helvetica;sans-serif" w:hAnsi="Helvetica;sans-serif"/>
                <w:b w:val="false"/>
                <w:color w:val="000000"/>
                <w:sz w:val="18"/>
              </w:rPr>
              <w:t>$</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8"/>
              </w:rPr>
            </w:pPr>
            <w:r>
              <w:rPr>
                <w:rFonts w:ascii="Helvetica;sans-serif" w:hAnsi="Helvetica;sans-serif"/>
                <w:b w:val="false"/>
                <w:color w:val="000000"/>
                <w:sz w:val="18"/>
              </w:rPr>
              <w:t>EPS</w:t>
            </w:r>
          </w:p>
        </w:tc>
      </w:tr>
      <w:tr>
        <w:trPr/>
        <w:tc>
          <w:tcPr>
            <w:tcW w:w="1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8"/>
              </w:rPr>
            </w:pPr>
            <w:r>
              <w:rPr>
                <w:rFonts w:ascii="Helvetica;sans-serif" w:hAnsi="Helvetica;sans-serif"/>
                <w:b/>
                <w:color w:val="000000"/>
                <w:sz w:val="18"/>
              </w:rPr>
              <w:t>Net income attributable to Comcast Corporation and diluted earnings per share attributable to Comcast Corporation shareholders</w:t>
            </w:r>
          </w:p>
        </w:tc>
        <w:tc>
          <w:tcPr>
            <w:tcW w:w="82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8"/>
              </w:rPr>
            </w:pPr>
            <w:r>
              <w:rPr>
                <w:rFonts w:ascii="Helvetica;sans-serif" w:hAnsi="Helvetica;sans-serif"/>
                <w:b/>
                <w:color w:val="000000"/>
                <w:sz w:val="18"/>
              </w:rPr>
              <w:t>$3,448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8"/>
              </w:rPr>
            </w:pPr>
            <w:r>
              <w:rPr>
                <w:rFonts w:ascii="Helvetica;sans-serif" w:hAnsi="Helvetica;sans-serif"/>
                <w:b/>
                <w:color w:val="000000"/>
                <w:sz w:val="18"/>
              </w:rPr>
              <w:t>$0.97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$3,332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$0.90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8"/>
              </w:rPr>
            </w:pPr>
            <w:r>
              <w:rPr>
                <w:rFonts w:ascii="Helvetica;sans-serif" w:hAnsi="Helvetica;sans-serif"/>
                <w:b/>
                <w:color w:val="000000"/>
                <w:sz w:val="18"/>
              </w:rPr>
              <w:t>$9,148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8"/>
              </w:rPr>
            </w:pPr>
            <w:r>
              <w:rPr>
                <w:rFonts w:ascii="Helvetica;sans-serif" w:hAnsi="Helvetica;sans-serif"/>
                <w:b/>
                <w:color w:val="000000"/>
                <w:sz w:val="18"/>
              </w:rPr>
              <w:t>$2.55</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$17,830</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$4.78</w:t>
            </w:r>
          </w:p>
        </w:tc>
      </w:tr>
      <w:tr>
        <w:trPr/>
        <w:tc>
          <w:tcPr>
            <w:tcW w:w="1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18"/>
              </w:rPr>
            </w:pPr>
            <w:r>
              <w:rPr>
                <w:rFonts w:ascii="Helvetica;sans-serif" w:hAnsi="Helvetica;sans-serif"/>
                <w:b w:val="false"/>
                <w:i/>
                <w:color w:val="000000"/>
                <w:sz w:val="18"/>
              </w:rPr>
              <w:t xml:space="preserve">Change </w:t>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i/>
                <w:color w:val="000000"/>
                <w:sz w:val="18"/>
              </w:rPr>
            </w:pPr>
            <w:r>
              <w:rPr>
                <w:rFonts w:ascii="Helvetica;sans-serif" w:hAnsi="Helvetica;sans-serif"/>
                <w:b w:val="false"/>
                <w:i/>
                <w:color w:val="000000"/>
                <w:sz w:val="18"/>
              </w:rPr>
              <w:t>3.5</w:t>
            </w:r>
          </w:p>
        </w:tc>
        <w:tc>
          <w:tcPr>
            <w:tcW w:w="400" w:type="dxa"/>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18"/>
              </w:rPr>
            </w:pPr>
            <w:r>
              <w:rPr>
                <w:rFonts w:ascii="Helvetica;sans-serif" w:hAnsi="Helvetica;sans-serif"/>
                <w:b w:val="false"/>
                <w:i/>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i/>
                <w:color w:val="000000"/>
                <w:sz w:val="18"/>
              </w:rPr>
            </w:pPr>
            <w:r>
              <w:rPr>
                <w:rFonts w:ascii="Helvetica;sans-serif" w:hAnsi="Helvetica;sans-serif"/>
                <w:b w:val="false"/>
                <w:i/>
                <w:color w:val="000000"/>
                <w:sz w:val="18"/>
              </w:rPr>
              <w:t>7.2</w:t>
            </w:r>
          </w:p>
        </w:tc>
        <w:tc>
          <w:tcPr>
            <w:tcW w:w="295" w:type="dxa"/>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18"/>
              </w:rPr>
            </w:pPr>
            <w:r>
              <w:rPr>
                <w:rFonts w:ascii="Helvetica;sans-serif" w:hAnsi="Helvetica;sans-serif"/>
                <w:b w:val="false"/>
                <w:i/>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i/>
                <w:color w:val="000000"/>
                <w:sz w:val="18"/>
              </w:rPr>
            </w:pPr>
            <w:r>
              <w:rPr>
                <w:rFonts w:ascii="Helvetica;sans-serif" w:hAnsi="Helvetica;sans-serif"/>
                <w:b w:val="false"/>
                <w:i/>
                <w:color w:val="000000"/>
                <w:sz w:val="18"/>
              </w:rPr>
              <w:t>(48.7</w:t>
            </w:r>
          </w:p>
        </w:tc>
        <w:tc>
          <w:tcPr>
            <w:tcW w:w="400" w:type="dxa"/>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18"/>
              </w:rPr>
            </w:pPr>
            <w:r>
              <w:rPr>
                <w:rFonts w:ascii="Helvetica;sans-serif" w:hAnsi="Helvetica;sans-serif"/>
                <w:b w:val="false"/>
                <w:i/>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i/>
                <w:color w:val="000000"/>
                <w:sz w:val="18"/>
              </w:rPr>
            </w:pPr>
            <w:r>
              <w:rPr>
                <w:rFonts w:ascii="Helvetica;sans-serif" w:hAnsi="Helvetica;sans-serif"/>
                <w:b w:val="false"/>
                <w:i/>
                <w:color w:val="000000"/>
                <w:sz w:val="18"/>
              </w:rPr>
              <w:t>(46.5</w:t>
            </w:r>
          </w:p>
        </w:tc>
        <w:tc>
          <w:tcPr>
            <w:tcW w:w="317" w:type="dxa"/>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18"/>
              </w:rPr>
            </w:pPr>
            <w:r>
              <w:rPr>
                <w:rFonts w:ascii="Helvetica;sans-serif" w:hAnsi="Helvetica;sans-serif"/>
                <w:b w:val="false"/>
                <w:i/>
                <w:color w:val="000000"/>
                <w:sz w:val="18"/>
              </w:rPr>
              <w:t>%)</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Helvetica;sans-serif" w:hAnsi="Helvetica;sans-serif"/>
                <w:b w:val="false"/>
                <w:color w:val="000000"/>
                <w:sz w:val="18"/>
              </w:rPr>
              <w:t>Amortization of acquisition-related intangible assets</w:t>
            </w:r>
            <w:r>
              <w:rPr>
                <w:rFonts w:ascii="Helvetica;sans-serif" w:hAnsi="Helvetica;sans-serif"/>
                <w:b w:val="false"/>
                <w:color w:val="000000"/>
                <w:sz w:val="12"/>
              </w:rPr>
              <w:t>(1)</w:t>
            </w:r>
          </w:p>
        </w:tc>
        <w:tc>
          <w:tcPr>
            <w:tcW w:w="82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402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633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1,211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0.34</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1,861</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0.50</w:t>
            </w:r>
          </w:p>
        </w:tc>
      </w:tr>
      <w:tr>
        <w:trPr/>
        <w:tc>
          <w:tcPr>
            <w:tcW w:w="171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18"/>
              </w:rPr>
              <w:t>Investments</w:t>
            </w:r>
            <w:r>
              <w:rPr>
                <w:rFonts w:ascii="Helvetica;sans-serif" w:hAnsi="Helvetica;sans-serif"/>
                <w:b w:val="false"/>
                <w:color w:val="000000"/>
                <w:sz w:val="12"/>
              </w:rPr>
              <w:t>(2)</w:t>
            </w:r>
          </w:p>
        </w:tc>
        <w:tc>
          <w:tcPr>
            <w:tcW w:w="82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(95)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(0.03)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0.01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(88)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(0.02)</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79</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0.02 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Items affecting period-over-period comparability:</w:t>
            </w:r>
          </w:p>
        </w:tc>
        <w:tc>
          <w:tcPr>
            <w:tcW w:w="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18"/>
              </w:rPr>
              <w:t>Long-lived asset impairments</w:t>
            </w:r>
            <w:r>
              <w:rPr>
                <w:rFonts w:ascii="Helvetica;sans-serif" w:hAnsi="Helvetica;sans-serif"/>
                <w:b w:val="false"/>
                <w:color w:val="000000"/>
                <w:sz w:val="12"/>
              </w:rPr>
              <w:t>(3)</w:t>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0.04</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155</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0.04 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18"/>
              </w:rPr>
              <w:t>Transaction costs</w:t>
            </w:r>
            <w:r>
              <w:rPr>
                <w:rFonts w:ascii="Helvetica;sans-serif" w:hAnsi="Helvetica;sans-serif"/>
                <w:b w:val="false"/>
                <w:color w:val="000000"/>
                <w:sz w:val="12"/>
              </w:rPr>
              <w:t xml:space="preserve">(4) </w:t>
            </w:r>
          </w:p>
        </w:tc>
        <w:tc>
          <w:tcPr>
            <w:tcW w:w="82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0.01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23 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0.01 </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64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0.02</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72</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0.02 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18"/>
              </w:rPr>
              <w:t>Transaction-related costs</w:t>
            </w:r>
            <w:r>
              <w:rPr>
                <w:rFonts w:ascii="Helvetica;sans-serif" w:hAnsi="Helvetica;sans-serif"/>
                <w:b w:val="false"/>
                <w:color w:val="000000"/>
                <w:sz w:val="12"/>
              </w:rPr>
              <w:t xml:space="preserve">(5) </w:t>
            </w:r>
          </w:p>
        </w:tc>
        <w:tc>
          <w:tcPr>
            <w:tcW w:w="82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79 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0.02 </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146</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0.04 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18"/>
              </w:rPr>
              <w:t>Sale of Sky operations in Germany</w:t>
            </w:r>
            <w:r>
              <w:rPr>
                <w:rFonts w:ascii="Helvetica;sans-serif" w:hAnsi="Helvetica;sans-serif"/>
                <w:b w:val="false"/>
                <w:color w:val="000000"/>
                <w:sz w:val="12"/>
              </w:rPr>
              <w:t>(6)</w:t>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(68)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(0.02)</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18"/>
              </w:rPr>
              <w:t>Gain related to investment</w:t>
            </w:r>
            <w:r>
              <w:rPr>
                <w:rFonts w:ascii="Helvetica;sans-serif" w:hAnsi="Helvetica;sans-serif"/>
                <w:b w:val="false"/>
                <w:color w:val="000000"/>
                <w:sz w:val="12"/>
              </w:rPr>
              <w:t>(7)</w:t>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(7,057)</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(1.89)</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Helvetica;sans-serif" w:hAnsi="Helvetica;sans-serif"/>
                <w:b w:val="false"/>
                <w:color w:val="000000"/>
                <w:sz w:val="18"/>
              </w:rPr>
              <w:t>Tax benefit from internal corporate reorganization</w:t>
            </w:r>
            <w:r>
              <w:rPr>
                <w:rFonts w:ascii="Helvetica;sans-serif" w:hAnsi="Helvetica;sans-serif"/>
                <w:b w:val="false"/>
                <w:color w:val="000000"/>
                <w:sz w:val="12"/>
              </w:rPr>
              <w:t>(8)</w:t>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(177)</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(0.05)</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18"/>
              </w:rPr>
              <w:t>Other adjustments</w:t>
            </w:r>
            <w:r>
              <w:rPr>
                <w:rFonts w:ascii="Helvetica;sans-serif" w:hAnsi="Helvetica;sans-serif"/>
                <w:b w:val="false"/>
                <w:color w:val="000000"/>
                <w:sz w:val="12"/>
              </w:rPr>
              <w:t>(9)</w:t>
            </w:r>
          </w:p>
        </w:tc>
        <w:tc>
          <w:tcPr>
            <w:tcW w:w="82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0.01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8"/>
              </w:rPr>
            </w:pPr>
            <w:r>
              <w:rPr>
                <w:rFonts w:ascii="Helvetica;sans-serif" w:hAnsi="Helvetica;sans-serif"/>
                <w:b/>
                <w:color w:val="000000"/>
                <w:sz w:val="18"/>
              </w:rPr>
              <w:t>Adjusted Net income and Adjusted EPS</w:t>
            </w:r>
          </w:p>
        </w:tc>
        <w:tc>
          <w:tcPr>
            <w:tcW w:w="8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8"/>
              </w:rPr>
            </w:pPr>
            <w:r>
              <w:rPr>
                <w:rFonts w:ascii="Helvetica;sans-serif" w:hAnsi="Helvetica;sans-serif"/>
                <w:b/>
                <w:color w:val="000000"/>
                <w:sz w:val="18"/>
              </w:rPr>
              <w:t>$3,824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8"/>
              </w:rPr>
            </w:pPr>
            <w:r>
              <w:rPr>
                <w:rFonts w:ascii="Helvetica;sans-serif" w:hAnsi="Helvetica;sans-serif"/>
                <w:b/>
                <w:color w:val="000000"/>
                <w:sz w:val="18"/>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$4,125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8"/>
              </w:rPr>
            </w:pPr>
            <w:r>
              <w:rPr>
                <w:rFonts w:ascii="Helvetica;sans-serif" w:hAnsi="Helvetica;sans-serif"/>
                <w:b/>
                <w:color w:val="000000"/>
                <w:sz w:val="18"/>
              </w:rPr>
              <w:t>$10,398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8"/>
              </w:rPr>
            </w:pPr>
            <w:r>
              <w:rPr>
                <w:rFonts w:ascii="Helvetica;sans-serif" w:hAnsi="Helvetica;sans-serif"/>
                <w:b/>
                <w:color w:val="000000"/>
                <w:sz w:val="18"/>
              </w:rPr>
              <w:t>$2.90</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$12,909</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$3.46</w:t>
            </w:r>
          </w:p>
        </w:tc>
      </w:tr>
      <w:tr>
        <w:trPr/>
        <w:tc>
          <w:tcPr>
            <w:tcW w:w="1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18"/>
              </w:rPr>
            </w:pPr>
            <w:r>
              <w:rPr>
                <w:rFonts w:ascii="Helvetica;sans-serif" w:hAnsi="Helvetica;sans-serif"/>
                <w:b w:val="false"/>
                <w:i/>
                <w:color w:val="000000"/>
                <w:sz w:val="18"/>
              </w:rPr>
              <w:t xml:space="preserve">Change </w:t>
            </w:r>
          </w:p>
        </w:tc>
        <w:tc>
          <w:tcPr>
            <w:tcW w:w="421"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i/>
                <w:color w:val="000000"/>
                <w:sz w:val="18"/>
              </w:rPr>
            </w:pPr>
            <w:r>
              <w:rPr>
                <w:rFonts w:ascii="Helvetica;sans-serif" w:hAnsi="Helvetica;sans-serif"/>
                <w:b w:val="false"/>
                <w:i/>
                <w:color w:val="000000"/>
                <w:sz w:val="18"/>
              </w:rPr>
              <w:t>(7.3</w:t>
            </w:r>
          </w:p>
        </w:tc>
        <w:tc>
          <w:tcPr>
            <w:tcW w:w="400"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18"/>
              </w:rPr>
            </w:pPr>
            <w:r>
              <w:rPr>
                <w:rFonts w:ascii="Helvetica;sans-serif" w:hAnsi="Helvetica;sans-serif"/>
                <w:b w:val="false"/>
                <w:i/>
                <w:color w:val="000000"/>
                <w:sz w:val="18"/>
              </w:rPr>
              <w:t>%)</w:t>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i/>
                <w:color w:val="000000"/>
                <w:sz w:val="18"/>
              </w:rPr>
            </w:pPr>
            <w:r>
              <w:rPr>
                <w:rFonts w:ascii="Helvetica;sans-serif" w:hAnsi="Helvetica;sans-serif"/>
                <w:b w:val="false"/>
                <w:i/>
                <w:color w:val="000000"/>
                <w:sz w:val="18"/>
              </w:rPr>
              <w:t>(4.0</w:t>
            </w:r>
          </w:p>
        </w:tc>
        <w:tc>
          <w:tcPr>
            <w:tcW w:w="295"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18"/>
              </w:rPr>
            </w:pPr>
            <w:r>
              <w:rPr>
                <w:rFonts w:ascii="Helvetica;sans-serif" w:hAnsi="Helvetica;sans-serif"/>
                <w:b w:val="false"/>
                <w:i/>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i/>
                <w:color w:val="000000"/>
                <w:sz w:val="18"/>
              </w:rPr>
            </w:pPr>
            <w:r>
              <w:rPr>
                <w:rFonts w:ascii="Helvetica;sans-serif" w:hAnsi="Helvetica;sans-serif"/>
                <w:b w:val="false"/>
                <w:i/>
                <w:color w:val="000000"/>
                <w:sz w:val="18"/>
              </w:rPr>
              <w:t>(19.5</w:t>
            </w:r>
          </w:p>
        </w:tc>
        <w:tc>
          <w:tcPr>
            <w:tcW w:w="400"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18"/>
              </w:rPr>
            </w:pPr>
            <w:r>
              <w:rPr>
                <w:rFonts w:ascii="Helvetica;sans-serif" w:hAnsi="Helvetica;sans-serif"/>
                <w:b w:val="false"/>
                <w:i/>
                <w:color w:val="000000"/>
                <w:sz w:val="18"/>
              </w:rPr>
              <w:t>%)</w:t>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i/>
                <w:color w:val="000000"/>
                <w:sz w:val="18"/>
              </w:rPr>
            </w:pPr>
            <w:r>
              <w:rPr>
                <w:rFonts w:ascii="Helvetica;sans-serif" w:hAnsi="Helvetica;sans-serif"/>
                <w:b w:val="false"/>
                <w:i/>
                <w:color w:val="000000"/>
                <w:sz w:val="18"/>
              </w:rPr>
              <w:t>(16.1</w:t>
            </w:r>
          </w:p>
        </w:tc>
        <w:tc>
          <w:tcPr>
            <w:tcW w:w="317"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18"/>
              </w:rPr>
            </w:pPr>
            <w:r>
              <w:rPr>
                <w:rFonts w:ascii="Helvetica;sans-serif" w:hAnsi="Helvetica;sans-serif"/>
                <w:b w:val="false"/>
                <w:i/>
                <w:color w:val="000000"/>
                <w:sz w:val="18"/>
              </w:rPr>
              <w:t>%)</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270"/>
        <w:jc w:val="left"/>
        <w:rPr/>
      </w:pPr>
      <w:r>
        <w:rPr>
          <w:rFonts w:ascii="Helvetica;sans-serif" w:hAnsi="Helvetica;sans-serif"/>
          <w:b w:val="false"/>
          <w:color w:val="000000"/>
          <w:sz w:val="16"/>
        </w:rPr>
        <w:t>(1)Acquisition-related intangible assets are recognized as a result of the application of Accounting Standards Codification Topic 805, </w:t>
      </w:r>
      <w:r>
        <w:rPr>
          <w:rFonts w:ascii="Helvetica;sans-serif" w:hAnsi="Helvetica;sans-serif"/>
          <w:b w:val="false"/>
          <w:i/>
          <w:color w:val="000000"/>
          <w:sz w:val="16"/>
        </w:rPr>
        <w:t>Business Combinations</w:t>
      </w:r>
      <w:r>
        <w:rPr>
          <w:color w:val="000000"/>
        </w:rPr>
        <w:t> </w:t>
      </w:r>
      <w:r>
        <w:rPr>
          <w:rFonts w:ascii="Helvetica;sans-serif" w:hAnsi="Helvetica;sans-serif"/>
          <w:b w:val="false"/>
          <w:color w:val="000000"/>
          <w:sz w:val="16"/>
        </w:rPr>
        <w:t>(such as customer relationships), and their amortization is significantly affected by the size and timing of our acquisitions. Amortization of intangible assets not resulting from business combinations (such as software and acquired intellectual property rights used in our theme parks) is included in Adjusted Net Income and Adjusted EPS.</w:t>
      </w:r>
    </w:p>
    <w:tbl>
      <w:tblPr>
        <w:tblW w:w="10132" w:type="dxa"/>
        <w:jc w:val="left"/>
        <w:tblInd w:w="0" w:type="dxa"/>
        <w:tblLayout w:type="fixed"/>
        <w:tblCellMar>
          <w:top w:w="28" w:type="dxa"/>
          <w:left w:w="28" w:type="dxa"/>
          <w:bottom w:w="28" w:type="dxa"/>
          <w:right w:w="28" w:type="dxa"/>
        </w:tblCellMar>
      </w:tblPr>
      <w:tblGrid>
        <w:gridCol w:w="1940"/>
        <w:gridCol w:w="1706"/>
        <w:gridCol w:w="1709"/>
        <w:gridCol w:w="259"/>
        <w:gridCol w:w="252"/>
        <w:gridCol w:w="181"/>
        <w:gridCol w:w="181"/>
        <w:gridCol w:w="181"/>
        <w:gridCol w:w="181"/>
        <w:gridCol w:w="259"/>
        <w:gridCol w:w="252"/>
        <w:gridCol w:w="181"/>
        <w:gridCol w:w="109"/>
        <w:gridCol w:w="109"/>
        <w:gridCol w:w="109"/>
        <w:gridCol w:w="109"/>
        <w:gridCol w:w="109"/>
        <w:gridCol w:w="109"/>
        <w:gridCol w:w="323"/>
        <w:gridCol w:w="323"/>
        <w:gridCol w:w="167"/>
        <w:gridCol w:w="167"/>
        <w:gridCol w:w="167"/>
        <w:gridCol w:w="167"/>
        <w:gridCol w:w="323"/>
        <w:gridCol w:w="323"/>
        <w:gridCol w:w="236"/>
      </w:tblGrid>
      <w:tr>
        <w:trPr/>
        <w:tc>
          <w:tcPr>
            <w:tcW w:w="1940"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6"/>
              </w:rPr>
            </w:pPr>
            <w:r>
              <w:rPr>
                <w:rFonts w:ascii="Helvetica;sans-serif" w:hAnsi="Helvetica;sans-serif"/>
                <w:b w:val="false"/>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6"/>
              </w:rPr>
            </w:pPr>
            <w:r>
              <w:rPr>
                <w:rFonts w:ascii="Helvetica;sans-serif" w:hAnsi="Helvetica;sans-serif"/>
                <w:b w:val="false"/>
                <w:color w:val="000000"/>
                <w:sz w:val="16"/>
              </w:rPr>
              <w:t>Nine Months Ended</w:t>
              <w:br/>
              <w:t>September 30,</w:t>
            </w:r>
          </w:p>
        </w:tc>
      </w:tr>
      <w:tr>
        <w:trPr/>
        <w:tc>
          <w:tcPr>
            <w:tcW w:w="5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6"/>
              </w:rPr>
            </w:pPr>
            <w:r>
              <w:rPr>
                <w:rFonts w:ascii="Helvetica;sans-serif" w:hAnsi="Helvetica;sans-serif"/>
                <w:b w:val="false"/>
                <w:color w:val="000000"/>
                <w:sz w:val="16"/>
              </w:rPr>
              <w:t>2026</w:t>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6"/>
              </w:rPr>
            </w:pPr>
            <w:r>
              <w:rPr>
                <w:rFonts w:ascii="Helvetica;sans-serif" w:hAnsi="Helvetica;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6"/>
              </w:rPr>
            </w:pPr>
            <w:r>
              <w:rPr>
                <w:rFonts w:ascii="Helvetica;sans-serif" w:hAnsi="Helvetica;sans-serif"/>
                <w:b w:val="false"/>
                <w:color w:val="000000"/>
                <w:sz w:val="16"/>
              </w:rPr>
              <w:t>2026</w:t>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6"/>
              </w:rPr>
            </w:pPr>
            <w:r>
              <w:rPr>
                <w:rFonts w:ascii="Helvetica;sans-serif" w:hAnsi="Helvetica;sans-serif"/>
                <w:b w:val="false"/>
                <w:color w:val="000000"/>
                <w:sz w:val="16"/>
              </w:rPr>
              <w:t>2025</w:t>
            </w:r>
          </w:p>
        </w:tc>
      </w:tr>
      <w:tr>
        <w:trPr/>
        <w:tc>
          <w:tcPr>
            <w:tcW w:w="5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Amortization of acquisition-related intangible assets before income taxes</w:t>
            </w:r>
          </w:p>
        </w:tc>
        <w:tc>
          <w:tcPr>
            <w:tcW w:w="51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$524 </w:t>
            </w:r>
          </w:p>
        </w:tc>
        <w:tc>
          <w:tcPr>
            <w:tcW w:w="1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$824 </w:t>
            </w:r>
          </w:p>
        </w:tc>
        <w:tc>
          <w:tcPr>
            <w:tcW w:w="1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$1,576 </w:t>
            </w:r>
          </w:p>
        </w:tc>
        <w:tc>
          <w:tcPr>
            <w:tcW w:w="16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$2,424 </w:t>
            </w:r>
          </w:p>
        </w:tc>
        <w:tc>
          <w:tcPr>
            <w:tcW w:w="23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Amortization of acquisition-related intangible assets, net of tax</w:t>
            </w:r>
          </w:p>
        </w:tc>
        <w:tc>
          <w:tcPr>
            <w:tcW w:w="51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$402 </w:t>
            </w:r>
          </w:p>
        </w:tc>
        <w:tc>
          <w:tcPr>
            <w:tcW w:w="1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$1,211</w:t>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$1,861</w:t>
            </w:r>
          </w:p>
        </w:tc>
      </w:tr>
    </w:tbl>
    <w:p>
      <w:pPr>
        <w:pStyle w:val="TextBody"/>
        <w:bidi w:val="0"/>
        <w:spacing w:lineRule="auto" w:line="288" w:before="0" w:after="0"/>
        <w:ind w:left="0" w:right="0" w:hanging="270"/>
        <w:jc w:val="left"/>
        <w:rPr>
          <w:rFonts w:ascii="Helvetica;sans-serif" w:hAnsi="Helvetica;sans-serif"/>
          <w:b w:val="false"/>
          <w:color w:val="000000"/>
          <w:sz w:val="16"/>
        </w:rPr>
      </w:pPr>
      <w:r>
        <w:rPr>
          <w:rFonts w:ascii="Helvetica;sans-serif" w:hAnsi="Helvetica;sans-serif"/>
          <w:b w:val="false"/>
          <w:color w:val="000000"/>
          <w:sz w:val="16"/>
        </w:rPr>
        <w:t xml:space="preserve">(2)Adjustments for investments include realized and unrealized (gains) losses on equity securities, net (as stated in Table 1), as well as the equity in net (income) losses of investees, net, for certain equity method investments, including Atairos and Hulu and costs related to our investment portfolio. </w:t>
      </w:r>
    </w:p>
    <w:p>
      <w:pPr>
        <w:pStyle w:val="TextBody"/>
        <w:bidi w:val="0"/>
        <w:spacing w:before="0" w:after="0"/>
        <w:ind w:left="0" w:right="0" w:firstLine="90"/>
        <w:jc w:val="left"/>
        <w:rPr/>
      </w:pPr>
      <w:r>
        <w:rPr/>
      </w:r>
    </w:p>
    <w:tbl>
      <w:tblPr>
        <w:tblW w:w="9180" w:type="dxa"/>
        <w:jc w:val="left"/>
        <w:tblInd w:w="0" w:type="dxa"/>
        <w:tblLayout w:type="fixed"/>
        <w:tblCellMar>
          <w:top w:w="28" w:type="dxa"/>
          <w:left w:w="28" w:type="dxa"/>
          <w:bottom w:w="28" w:type="dxa"/>
          <w:right w:w="28" w:type="dxa"/>
        </w:tblCellMar>
      </w:tblPr>
      <w:tblGrid>
        <w:gridCol w:w="1703"/>
        <w:gridCol w:w="1498"/>
        <w:gridCol w:w="1509"/>
        <w:gridCol w:w="250"/>
        <w:gridCol w:w="245"/>
        <w:gridCol w:w="181"/>
        <w:gridCol w:w="181"/>
        <w:gridCol w:w="181"/>
        <w:gridCol w:w="181"/>
        <w:gridCol w:w="213"/>
        <w:gridCol w:w="208"/>
        <w:gridCol w:w="181"/>
        <w:gridCol w:w="109"/>
        <w:gridCol w:w="109"/>
        <w:gridCol w:w="109"/>
        <w:gridCol w:w="109"/>
        <w:gridCol w:w="109"/>
        <w:gridCol w:w="109"/>
        <w:gridCol w:w="246"/>
        <w:gridCol w:w="249"/>
        <w:gridCol w:w="170"/>
        <w:gridCol w:w="170"/>
        <w:gridCol w:w="170"/>
        <w:gridCol w:w="170"/>
        <w:gridCol w:w="248"/>
        <w:gridCol w:w="248"/>
        <w:gridCol w:w="170"/>
        <w:gridCol w:w="154"/>
      </w:tblGrid>
      <w:tr>
        <w:trPr/>
        <w:tc>
          <w:tcPr>
            <w:tcW w:w="1703"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6"/>
              </w:rPr>
            </w:pPr>
            <w:r>
              <w:rPr>
                <w:rFonts w:ascii="Helvetica;sans-serif" w:hAnsi="Helvetica;sans-serif"/>
                <w:b w:val="false"/>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6"/>
              </w:rPr>
            </w:pPr>
            <w:r>
              <w:rPr>
                <w:rFonts w:ascii="Helvetica;sans-serif" w:hAnsi="Helvetica;sans-serif"/>
                <w:b w:val="false"/>
                <w:color w:val="000000"/>
                <w:sz w:val="16"/>
              </w:rPr>
              <w:t>Nine Months Ended</w:t>
              <w:br/>
              <w:t>September 30,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6"/>
              </w:rPr>
            </w:pPr>
            <w:r>
              <w:rPr>
                <w:rFonts w:ascii="Helvetica;sans-serif" w:hAnsi="Helvetica;sans-serif"/>
                <w:b w:val="false"/>
                <w:color w:val="000000"/>
                <w:sz w:val="16"/>
              </w:rPr>
              <w:t>2026</w:t>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6"/>
              </w:rPr>
            </w:pPr>
            <w:r>
              <w:rPr>
                <w:rFonts w:ascii="Helvetica;sans-serif" w:hAnsi="Helvetica;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6"/>
              </w:rPr>
            </w:pPr>
            <w:r>
              <w:rPr>
                <w:rFonts w:ascii="Helvetica;sans-serif" w:hAnsi="Helvetica;sans-serif"/>
                <w:b w:val="false"/>
                <w:color w:val="000000"/>
                <w:sz w:val="16"/>
              </w:rPr>
              <w:t>2026</w:t>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6"/>
              </w:rPr>
            </w:pPr>
            <w:r>
              <w:rPr>
                <w:rFonts w:ascii="Helvetica;sans-serif" w:hAnsi="Helvetica;sans-serif"/>
                <w:b w:val="false"/>
                <w:color w:val="000000"/>
                <w:sz w:val="16"/>
              </w:rPr>
              <w:t>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Realized and unrealized (gains) losses on equity securities, net</w:t>
            </w:r>
          </w:p>
        </w:tc>
        <w:tc>
          <w:tcPr>
            <w:tcW w:w="49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$46 </w:t>
            </w:r>
          </w:p>
        </w:tc>
        <w:tc>
          <w:tcPr>
            <w:tcW w:w="1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$60 </w:t>
            </w:r>
          </w:p>
        </w:tc>
        <w:tc>
          <w:tcPr>
            <w:tcW w:w="1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$65 </w:t>
            </w:r>
          </w:p>
        </w:tc>
        <w:tc>
          <w:tcPr>
            <w:tcW w:w="17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($52)</w:t>
            </w:r>
          </w:p>
        </w:tc>
        <w:tc>
          <w:tcPr>
            <w:tcW w:w="17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Equity in net (income) losses of investees, net and other</w:t>
            </w:r>
          </w:p>
        </w:tc>
        <w:tc>
          <w:tcPr>
            <w:tcW w:w="4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(172)</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(182)</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152 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Investments before income taxes</w:t>
            </w:r>
          </w:p>
        </w:tc>
        <w:tc>
          <w:tcPr>
            <w:tcW w:w="49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(126)</w:t>
            </w:r>
          </w:p>
        </w:tc>
        <w:tc>
          <w:tcPr>
            <w:tcW w:w="1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57 </w:t>
            </w:r>
          </w:p>
        </w:tc>
        <w:tc>
          <w:tcPr>
            <w:tcW w:w="1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(117)</w:t>
            </w:r>
          </w:p>
        </w:tc>
        <w:tc>
          <w:tcPr>
            <w:tcW w:w="17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101 </w:t>
            </w:r>
          </w:p>
        </w:tc>
        <w:tc>
          <w:tcPr>
            <w:tcW w:w="17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Investments, net of tax</w:t>
            </w:r>
          </w:p>
        </w:tc>
        <w:tc>
          <w:tcPr>
            <w:tcW w:w="495" w:type="dxa"/>
            <w:gridSpan w:val="2"/>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($95)</w:t>
            </w:r>
          </w:p>
        </w:tc>
        <w:tc>
          <w:tcPr>
            <w:tcW w:w="181"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$43 </w:t>
            </w:r>
          </w:p>
        </w:tc>
        <w:tc>
          <w:tcPr>
            <w:tcW w:w="181"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($88)</w:t>
            </w:r>
          </w:p>
        </w:tc>
        <w:tc>
          <w:tcPr>
            <w:tcW w:w="170"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$79 </w:t>
            </w:r>
          </w:p>
        </w:tc>
        <w:tc>
          <w:tcPr>
            <w:tcW w:w="170"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left"/>
        <w:rPr>
          <w:rFonts w:ascii="Helvetica;sans-serif" w:hAnsi="Helvetica;sans-serif"/>
          <w:b w:val="false"/>
          <w:color w:val="000000"/>
          <w:sz w:val="16"/>
        </w:rPr>
      </w:pPr>
      <w:r>
        <w:rPr>
          <w:rFonts w:ascii="Helvetica;sans-serif" w:hAnsi="Helvetica;sans-serif"/>
          <w:b w:val="false"/>
          <w:color w:val="000000"/>
          <w:sz w:val="16"/>
        </w:rPr>
        <w:t>(3)Year to date 2026 net income attributable to Comcast Corporation includes $171 million, $130 million net of tax, of long-lived asset impairments. Year to date 2025 net income attributable to Comcast Corporation includes $155 million of long-lived asset impairments.</w:t>
      </w:r>
    </w:p>
    <w:p>
      <w:pPr>
        <w:pStyle w:val="TextBody"/>
        <w:bidi w:val="0"/>
        <w:spacing w:lineRule="auto" w:line="288" w:before="0" w:after="0"/>
        <w:ind w:left="0" w:right="0" w:hanging="270"/>
        <w:jc w:val="left"/>
        <w:rPr/>
      </w:pPr>
      <w:r>
        <w:rPr>
          <w:rFonts w:ascii="Helvetica;sans-serif" w:hAnsi="Helvetica;sans-serif"/>
          <w:b w:val="false"/>
          <w:color w:val="000000"/>
          <w:sz w:val="16"/>
        </w:rPr>
        <w:t>(4)3rd quarter and year to date 2026 net income attributable to Comcast Corporation includes $22 million, $19 million net of tax, of transaction costs related to the proposed NBCUniversal Spin-off. Year to date 2026 also includes $51 million, $45 million net of tax, of transaction costs related to the Versant Separation. 3rd quarter and year to date 2025 net income attributable to Comcast Corporation includes</w:t>
      </w:r>
      <w:r>
        <w:rPr>
          <w:color w:val="000000"/>
          <w:shd w:fill="FFFFFF" w:val="clear"/>
        </w:rPr>
        <w:t xml:space="preserve"> </w:t>
      </w:r>
      <w:r>
        <w:rPr>
          <w:rFonts w:ascii="Helvetica;sans-serif" w:hAnsi="Helvetica;sans-serif"/>
          <w:b w:val="false"/>
          <w:color w:val="000000"/>
          <w:sz w:val="16"/>
        </w:rPr>
        <w:t>$26 million</w:t>
      </w:r>
      <w:r>
        <w:rPr>
          <w:color w:val="000000"/>
          <w:shd w:fill="FFFFFF" w:val="clear"/>
        </w:rPr>
        <w:t xml:space="preserve"> </w:t>
      </w:r>
      <w:r>
        <w:rPr>
          <w:rFonts w:ascii="Helvetica;sans-serif" w:hAnsi="Helvetica;sans-serif"/>
          <w:b w:val="false"/>
          <w:color w:val="000000"/>
          <w:sz w:val="16"/>
          <w:shd w:fill="FFFFFF" w:val="clear"/>
        </w:rPr>
        <w:t xml:space="preserve">and </w:t>
      </w:r>
      <w:r>
        <w:rPr>
          <w:rFonts w:ascii="Helvetica;sans-serif" w:hAnsi="Helvetica;sans-serif"/>
          <w:b w:val="false"/>
          <w:color w:val="000000"/>
          <w:sz w:val="16"/>
        </w:rPr>
        <w:t>$82 million</w:t>
      </w:r>
      <w:r>
        <w:rPr>
          <w:rFonts w:ascii="Helvetica;sans-serif" w:hAnsi="Helvetica;sans-serif"/>
          <w:b w:val="false"/>
          <w:color w:val="000000"/>
          <w:sz w:val="16"/>
          <w:shd w:fill="FFFFFF" w:val="clear"/>
        </w:rPr>
        <w:t xml:space="preserve">, $23 million and </w:t>
      </w:r>
      <w:r>
        <w:rPr>
          <w:rFonts w:ascii="Helvetica;sans-serif" w:hAnsi="Helvetica;sans-serif"/>
          <w:b w:val="false"/>
          <w:color w:val="000000"/>
          <w:sz w:val="16"/>
        </w:rPr>
        <w:t>$72 million</w:t>
      </w:r>
      <w:r>
        <w:rPr>
          <w:color w:val="000000"/>
          <w:shd w:fill="FFFFFF" w:val="clear"/>
        </w:rPr>
        <w:t xml:space="preserve"> </w:t>
      </w:r>
      <w:r>
        <w:rPr>
          <w:rFonts w:ascii="Helvetica;sans-serif" w:hAnsi="Helvetica;sans-serif"/>
          <w:b w:val="false"/>
          <w:color w:val="000000"/>
          <w:sz w:val="16"/>
          <w:shd w:fill="FFFFFF" w:val="clear"/>
        </w:rPr>
        <w:t>net of tax, respectively, of transaction costs related to the Versant Separation. Transaction costs are incremental costs directly related to effectuating the Versant Separation and the proposed NBCUniversal Spin-off and primarily include advisory, legal and audit fees, and legal entity separation costs.</w:t>
      </w:r>
    </w:p>
    <w:p>
      <w:pPr>
        <w:pStyle w:val="TextBody"/>
        <w:bidi w:val="0"/>
        <w:spacing w:lineRule="auto" w:line="288"/>
        <w:ind w:left="0" w:right="0" w:hanging="270"/>
        <w:jc w:val="left"/>
        <w:rPr/>
      </w:pPr>
      <w:r>
        <w:rPr>
          <w:rFonts w:ascii="Helvetica;sans-serif" w:hAnsi="Helvetica;sans-serif"/>
          <w:b w:val="false"/>
          <w:color w:val="000000"/>
          <w:sz w:val="16"/>
        </w:rPr>
        <w:t>(5)</w:t>
      </w:r>
      <w:r>
        <w:rPr>
          <w:rFonts w:ascii="Helvetica;sans-serif" w:hAnsi="Helvetica;sans-serif"/>
          <w:b w:val="false"/>
          <w:color w:val="000000"/>
          <w:sz w:val="16"/>
          <w:shd w:fill="FFFFFF" w:val="clear"/>
        </w:rPr>
        <w:t xml:space="preserve">3rd quarter and year to date 2026 net income attributable to Comcast Corporation includes </w:t>
      </w:r>
      <w:r>
        <w:rPr>
          <w:rFonts w:ascii="Helvetica;sans-serif" w:hAnsi="Helvetica;sans-serif"/>
          <w:b w:val="false"/>
          <w:color w:val="000000"/>
          <w:sz w:val="16"/>
        </w:rPr>
        <w:t>$4 million</w:t>
      </w:r>
      <w:r>
        <w:rPr>
          <w:rFonts w:ascii="Helvetica;sans-serif" w:hAnsi="Helvetica;sans-serif"/>
          <w:b w:val="false"/>
          <w:color w:val="000000"/>
          <w:sz w:val="16"/>
          <w:shd w:fill="FFFFFF" w:val="clear"/>
        </w:rPr>
        <w:t xml:space="preserve">, </w:t>
      </w:r>
      <w:r>
        <w:rPr>
          <w:rFonts w:ascii="Helvetica;sans-serif" w:hAnsi="Helvetica;sans-serif"/>
          <w:b w:val="false"/>
          <w:color w:val="000000"/>
          <w:sz w:val="16"/>
        </w:rPr>
        <w:t>$4 million</w:t>
      </w:r>
      <w:r>
        <w:rPr>
          <w:color w:val="000000"/>
          <w:shd w:fill="FFFFFF" w:val="clear"/>
        </w:rPr>
        <w:t xml:space="preserve"> </w:t>
      </w:r>
      <w:r>
        <w:rPr>
          <w:rFonts w:ascii="Helvetica;sans-serif" w:hAnsi="Helvetica;sans-serif"/>
          <w:b w:val="false"/>
          <w:color w:val="000000"/>
          <w:sz w:val="16"/>
          <w:shd w:fill="FFFFFF" w:val="clear"/>
        </w:rPr>
        <w:t>net of tax, of transaction-related costs related to the proposed NBCUniversal Spin-off. 3rd quarter and year to date 2025 net income attributable to Comcast Corporation includes $90 million and $166 million, $79 million and $146 million net of tax, respectively, of tra</w:t>
      </w:r>
      <w:r>
        <w:rPr>
          <w:rFonts w:ascii="Helvetica;sans-serif" w:hAnsi="Helvetica;sans-serif"/>
          <w:b w:val="false"/>
          <w:color w:val="000000"/>
          <w:sz w:val="16"/>
        </w:rPr>
        <w:t xml:space="preserve">nsaction-related costs related to the Versant Separation. Transaction-related costs are incremental costs incurred related to the Versant Separation and the proposed NBCUniversal Spin-off, including costs that reflect strategic decisions about how the related stand-alone businesses will be structured or operated, which may be different than if they </w:t>
      </w:r>
    </w:p>
    <w:p>
      <w:pPr>
        <w:pStyle w:val="TextBody"/>
        <w:bidi w:val="0"/>
        <w:spacing w:before="0" w:after="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16840"/>
                <wp:effectExtent l="0" t="0" r="0" b="0"/>
                <wp:wrapNone/>
                <wp:docPr id="24" name="Frame1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16"/>
                              </w:rPr>
                            </w:pPr>
                            <w:r>
                              <w:rPr>
                                <w:rFonts w:ascii="Helvetica;sans-serif" w:hAnsi="Helvetica;sans-serif"/>
                                <w:b w:val="false"/>
                                <w:color w:val="000000"/>
                                <w:sz w:val="16"/>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16"/>
                        </w:rPr>
                      </w:pPr>
                      <w:r>
                        <w:rPr>
                          <w:rFonts w:ascii="Helvetica;sans-serif" w:hAnsi="Helvetica;sans-serif"/>
                          <w:b w:val="false"/>
                          <w:color w:val="000000"/>
                          <w:sz w:val="16"/>
                        </w:rPr>
                        <w:t>15</w:t>
                      </w:r>
                    </w:p>
                  </w:txbxContent>
                </v:textbox>
                <w10:wrap type="none"/>
              </v:rect>
            </w:pict>
          </mc:Fallback>
        </mc:AlternateContent>
      </w:r>
    </w:p>
    <w:p>
      <w:pPr>
        <w:pStyle w:val="TextBody"/>
        <w:bidi w:val="0"/>
        <w:spacing w:lineRule="auto" w:line="288" w:before="0" w:after="0"/>
        <w:jc w:val="left"/>
        <w:rPr>
          <w:rFonts w:ascii="Helvetica;sans-serif" w:hAnsi="Helvetica;sans-serif"/>
          <w:b w:val="false"/>
          <w:color w:val="000000"/>
          <w:sz w:val="16"/>
        </w:rPr>
      </w:pPr>
      <w:r>
        <w:rPr>
          <w:rFonts w:ascii="Helvetica;sans-serif" w:hAnsi="Helvetica;sans-serif"/>
          <w:b w:val="false"/>
          <w:color w:val="000000"/>
          <w:sz w:val="16"/>
        </w:rPr>
        <w:t xml:space="preserve">remained part of Comcast. Transaction-related costs primarily include certain separation-related employee compensation, severance and retention bonuses; IT separation and implementation costs; and other one-time costs. </w:t>
      </w:r>
    </w:p>
    <w:p>
      <w:pPr>
        <w:pStyle w:val="TextBody"/>
        <w:bidi w:val="0"/>
        <w:spacing w:lineRule="auto" w:line="288" w:before="0" w:after="0"/>
        <w:ind w:left="0" w:right="0" w:hanging="270"/>
        <w:jc w:val="left"/>
        <w:rPr>
          <w:rFonts w:ascii="Helvetica;sans-serif" w:hAnsi="Helvetica;sans-serif"/>
          <w:b w:val="false"/>
          <w:color w:val="000000"/>
          <w:sz w:val="16"/>
        </w:rPr>
      </w:pPr>
      <w:r>
        <w:rPr>
          <w:rFonts w:ascii="Helvetica;sans-serif" w:hAnsi="Helvetica;sans-serif"/>
          <w:b w:val="false"/>
          <w:color w:val="000000"/>
          <w:sz w:val="16"/>
        </w:rPr>
        <w:t xml:space="preserve">(6)Year to date 2026 net income attributable to Comcast Corporation includes a loss of $9 million in depreciation expense, $7 million net of tax, due to the sale of our Sky operations in Germany. Year to date 2026 also includes a $75 million income tax benefit, related to assets of our Sky operations in Germany that were sold on May 31, 2026. </w:t>
      </w:r>
    </w:p>
    <w:p>
      <w:pPr>
        <w:pStyle w:val="TextBody"/>
        <w:bidi w:val="0"/>
        <w:spacing w:lineRule="auto" w:line="288" w:before="0" w:after="0"/>
        <w:ind w:left="0" w:right="0" w:hanging="270"/>
        <w:jc w:val="left"/>
        <w:rPr>
          <w:rFonts w:ascii="Helvetica;sans-serif" w:hAnsi="Helvetica;sans-serif"/>
          <w:b w:val="false"/>
          <w:color w:val="000000"/>
          <w:sz w:val="16"/>
        </w:rPr>
      </w:pPr>
      <w:r>
        <w:rPr>
          <w:rFonts w:ascii="Helvetica;sans-serif" w:hAnsi="Helvetica;sans-serif"/>
          <w:b w:val="false"/>
          <w:color w:val="000000"/>
          <w:sz w:val="16"/>
        </w:rPr>
        <w:t>(7)Year to date 2025 net income attributable to Comcast Corporation includes a $9.4 billion pre-tax gain in other income (loss), net, $7.1 billion net of tax, related to the sale of our interest in Hulu, net of an adjustment for related transaction and other costs of $20 million,$15 million net of tax, recognized in the 3rd quarter of 2025.</w:t>
      </w:r>
    </w:p>
    <w:p>
      <w:pPr>
        <w:pStyle w:val="TextBody"/>
        <w:bidi w:val="0"/>
        <w:spacing w:lineRule="auto" w:line="288" w:before="0" w:after="0"/>
        <w:ind w:left="0" w:right="0" w:hanging="270"/>
        <w:jc w:val="left"/>
        <w:rPr>
          <w:rFonts w:ascii="Helvetica;sans-serif" w:hAnsi="Helvetica;sans-serif"/>
          <w:b w:val="false"/>
          <w:color w:val="000000"/>
          <w:sz w:val="16"/>
        </w:rPr>
      </w:pPr>
      <w:r>
        <w:rPr>
          <w:rFonts w:ascii="Helvetica;sans-serif" w:hAnsi="Helvetica;sans-serif"/>
          <w:b w:val="false"/>
          <w:color w:val="000000"/>
          <w:sz w:val="16"/>
        </w:rPr>
        <w:t>(8)Year to date 2025 net income attributable to Comcast Corporation includes a $177 million income tax benefit due to an internal corporate reorganization.</w:t>
      </w:r>
    </w:p>
    <w:p>
      <w:pPr>
        <w:pStyle w:val="TextBody"/>
        <w:bidi w:val="0"/>
        <w:spacing w:lineRule="auto" w:line="288" w:before="0" w:after="0"/>
        <w:ind w:left="0" w:right="0" w:hanging="270"/>
        <w:jc w:val="left"/>
        <w:rPr>
          <w:rFonts w:ascii="Helvetica;sans-serif" w:hAnsi="Helvetica;sans-serif"/>
          <w:b w:val="false"/>
          <w:color w:val="000000"/>
          <w:sz w:val="16"/>
        </w:rPr>
      </w:pPr>
      <w:r>
        <w:rPr>
          <w:rFonts w:ascii="Helvetica;sans-serif" w:hAnsi="Helvetica;sans-serif"/>
          <w:b w:val="false"/>
          <w:color w:val="000000"/>
          <w:sz w:val="16"/>
        </w:rPr>
        <w:t>(9)3rd quarter 2026 net income attributable to Comcast Corporation includes $61 million, $46 million net of tax, related to certain share-based compensation expenses. Year to date 2026 net income attributable to Comcast Corporation includes $(5) million, $(2) million net of tax, of other adjustments, which includes a gain related to a legal settlement and certain share-based compensation expenses.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16840"/>
                <wp:effectExtent l="0" t="0" r="0" b="0"/>
                <wp:wrapNone/>
                <wp:docPr id="25" name="Frame1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16"/>
                              </w:rPr>
                            </w:pPr>
                            <w:r>
                              <w:rPr>
                                <w:rFonts w:ascii="Helvetica;sans-serif" w:hAnsi="Helvetica;sans-serif"/>
                                <w:b w:val="false"/>
                                <w:color w:val="000000"/>
                                <w:sz w:val="16"/>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16"/>
                        </w:rPr>
                      </w:pPr>
                      <w:r>
                        <w:rPr>
                          <w:rFonts w:ascii="Helvetica;sans-serif" w:hAnsi="Helvetica;sans-serif"/>
                          <w:b w:val="false"/>
                          <w:color w:val="000000"/>
                          <w:sz w:val="16"/>
                        </w:rPr>
                        <w:t>16</w:t>
                      </w:r>
                    </w:p>
                  </w:txbxContent>
                </v:textbox>
                <w10:wrap type="none"/>
              </v:rect>
            </w:pict>
          </mc:Fallback>
        </mc:AlternateContent>
      </w:r>
    </w:p>
    <w:tbl>
      <w:tblPr>
        <w:tblW w:w="7475" w:type="dxa"/>
        <w:jc w:val="center"/>
        <w:tblInd w:w="0" w:type="dxa"/>
        <w:tblLayout w:type="fixed"/>
        <w:tblCellMar>
          <w:top w:w="28" w:type="dxa"/>
          <w:left w:w="28" w:type="dxa"/>
          <w:bottom w:w="28" w:type="dxa"/>
          <w:right w:w="28" w:type="dxa"/>
        </w:tblCellMar>
      </w:tblPr>
      <w:tblGrid>
        <w:gridCol w:w="246"/>
        <w:gridCol w:w="216"/>
        <w:gridCol w:w="216"/>
        <w:gridCol w:w="216"/>
        <w:gridCol w:w="216"/>
        <w:gridCol w:w="216"/>
        <w:gridCol w:w="216"/>
        <w:gridCol w:w="216"/>
        <w:gridCol w:w="216"/>
        <w:gridCol w:w="216"/>
        <w:gridCol w:w="216"/>
        <w:gridCol w:w="216"/>
        <w:gridCol w:w="216"/>
        <w:gridCol w:w="216"/>
        <w:gridCol w:w="216"/>
        <w:gridCol w:w="216"/>
        <w:gridCol w:w="216"/>
        <w:gridCol w:w="216"/>
        <w:gridCol w:w="216"/>
        <w:gridCol w:w="216"/>
        <w:gridCol w:w="216"/>
        <w:gridCol w:w="216"/>
        <w:gridCol w:w="216"/>
        <w:gridCol w:w="216"/>
        <w:gridCol w:w="240"/>
        <w:gridCol w:w="240"/>
        <w:gridCol w:w="240"/>
        <w:gridCol w:w="240"/>
        <w:gridCol w:w="240"/>
        <w:gridCol w:w="240"/>
        <w:gridCol w:w="240"/>
        <w:gridCol w:w="240"/>
        <w:gridCol w:w="341"/>
      </w:tblGrid>
      <w:tr>
        <w:trPr/>
        <w:tc>
          <w:tcPr>
            <w:tcW w:w="2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r>
      <w:tr>
        <w:trPr/>
        <w:tc>
          <w:tcPr>
            <w:tcW w:w="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1" w:type="dxa"/>
            <w:gridSpan w:val="9"/>
            <w:vMerge w:val="restart"/>
            <w:tcBorders>
              <w:bottom w:val="single" w:sz="8" w:space="0" w:color="0066CC"/>
            </w:tcBorders>
            <w:tcMar>
              <w:top w:w="0" w:type="dxa"/>
              <w:left w:w="0" w:type="dxa"/>
              <w:right w:w="0" w:type="dxa"/>
            </w:tcMar>
            <w:vAlign w:val="center"/>
          </w:tcPr>
          <w:p>
            <w:pPr>
              <w:pStyle w:val="TableContents"/>
              <w:bidi w:val="0"/>
              <w:spacing w:before="0" w:after="0"/>
              <w:jc w:val="right"/>
              <w:rPr/>
            </w:pPr>
            <w:r>
              <w:rPr/>
              <w:drawing>
                <wp:inline distT="0" distB="0" distL="0" distR="0">
                  <wp:extent cx="1352550" cy="533400"/>
                  <wp:effectExtent l="0" t="0" r="0" b="0"/>
                  <wp:docPr id="26"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7" descr=""/>
                          <pic:cNvPicPr>
                            <a:picLocks noChangeAspect="1" noChangeArrowheads="1"/>
                          </pic:cNvPicPr>
                        </pic:nvPicPr>
                        <pic:blipFill>
                          <a:blip r:embed="rId8"/>
                          <a:stretch>
                            <a:fillRect/>
                          </a:stretch>
                        </pic:blipFill>
                        <pic:spPr bwMode="auto">
                          <a:xfrm>
                            <a:off x="0" y="0"/>
                            <a:ext cx="1352550" cy="533400"/>
                          </a:xfrm>
                          <a:prstGeom prst="rect">
                            <a:avLst/>
                          </a:prstGeom>
                        </pic:spPr>
                      </pic:pic>
                    </a:graphicData>
                  </a:graphic>
                </wp:inline>
              </w:drawing>
            </w:r>
          </w:p>
        </w:tc>
      </w:tr>
      <w:tr>
        <w:trPr/>
        <w:tc>
          <w:tcPr>
            <w:tcW w:w="5214" w:type="dxa"/>
            <w:gridSpan w:val="24"/>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828282"/>
                <w:sz w:val="28"/>
              </w:rPr>
            </w:pPr>
            <w:r>
              <w:rPr>
                <w:rFonts w:ascii="Helvetica;sans-serif" w:hAnsi="Helvetica;sans-serif"/>
                <w:b/>
                <w:color w:val="828282"/>
                <w:sz w:val="28"/>
              </w:rPr>
              <w:t>TABLE 6</w:t>
            </w:r>
          </w:p>
        </w:tc>
        <w:tc>
          <w:tcPr>
            <w:tcW w:w="2261" w:type="dxa"/>
            <w:gridSpan w:val="9"/>
            <w:vMerge w:val="continue"/>
            <w:tcBorders>
              <w:bottom w:val="single" w:sz="8" w:space="0" w:color="0066CC"/>
            </w:tcBorders>
            <w:tcMar>
              <w:top w:w="0" w:type="dxa"/>
              <w:left w:w="0" w:type="dxa"/>
              <w:right w:w="0" w:type="dxa"/>
            </w:tcMar>
            <w:vAlign w:val="center"/>
          </w:tcPr>
          <w:p>
            <w:pPr>
              <w:pStyle w:val="Normal"/>
              <w:bidi w:val="0"/>
              <w:jc w:val="left"/>
              <w:rPr/>
            </w:pPr>
            <w:r>
              <w:rPr/>
            </w:r>
          </w:p>
        </w:tc>
      </w:tr>
      <w:tr>
        <w:trPr/>
        <w:tc>
          <w:tcPr>
            <w:tcW w:w="5214" w:type="dxa"/>
            <w:gridSpan w:val="24"/>
            <w:tcBorders>
              <w:bottom w:val="single" w:sz="8" w:space="0" w:color="0066CC"/>
            </w:tcBorders>
            <w:tcMar>
              <w:top w:w="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828282"/>
                <w:sz w:val="22"/>
              </w:rPr>
            </w:pPr>
            <w:r>
              <w:rPr>
                <w:rFonts w:ascii="Helvetica;sans-serif" w:hAnsi="Helvetica;sans-serif"/>
                <w:b/>
                <w:color w:val="828282"/>
                <w:sz w:val="22"/>
              </w:rPr>
              <w:t>Reconciliation of Constant Currency (Unaudited)</w:t>
            </w:r>
          </w:p>
        </w:tc>
        <w:tc>
          <w:tcPr>
            <w:tcW w:w="2261" w:type="dxa"/>
            <w:gridSpan w:val="9"/>
            <w:vMerge w:val="continue"/>
            <w:tcBorders>
              <w:bottom w:val="single" w:sz="8" w:space="0" w:color="0066CC"/>
            </w:tcBorders>
            <w:tcMar>
              <w:top w:w="0" w:type="dxa"/>
              <w:left w:w="0" w:type="dxa"/>
              <w:right w:w="0" w:type="dxa"/>
            </w:tcMar>
            <w:vAlign w:val="center"/>
          </w:tcPr>
          <w:p>
            <w:pPr>
              <w:pStyle w:val="Normal"/>
              <w:bidi w:val="0"/>
              <w:jc w:val="left"/>
              <w:rPr/>
            </w:pPr>
            <w:r>
              <w:rPr/>
            </w:r>
          </w:p>
        </w:tc>
      </w:tr>
    </w:tbl>
    <w:tbl>
      <w:tblPr>
        <w:tblW w:w="10205" w:type="dxa"/>
        <w:jc w:val="center"/>
        <w:tblInd w:w="0" w:type="dxa"/>
        <w:tblLayout w:type="fixed"/>
        <w:tblCellMar>
          <w:top w:w="28" w:type="dxa"/>
          <w:left w:w="28" w:type="dxa"/>
          <w:bottom w:w="28" w:type="dxa"/>
          <w:right w:w="28" w:type="dxa"/>
        </w:tblCellMar>
      </w:tblPr>
      <w:tblGrid>
        <w:gridCol w:w="944"/>
        <w:gridCol w:w="594"/>
        <w:gridCol w:w="599"/>
        <w:gridCol w:w="250"/>
        <w:gridCol w:w="219"/>
        <w:gridCol w:w="497"/>
        <w:gridCol w:w="109"/>
        <w:gridCol w:w="109"/>
        <w:gridCol w:w="109"/>
        <w:gridCol w:w="292"/>
        <w:gridCol w:w="563"/>
        <w:gridCol w:w="153"/>
        <w:gridCol w:w="109"/>
        <w:gridCol w:w="109"/>
        <w:gridCol w:w="109"/>
        <w:gridCol w:w="302"/>
        <w:gridCol w:w="225"/>
        <w:gridCol w:w="566"/>
        <w:gridCol w:w="109"/>
        <w:gridCol w:w="109"/>
        <w:gridCol w:w="109"/>
        <w:gridCol w:w="109"/>
        <w:gridCol w:w="109"/>
        <w:gridCol w:w="109"/>
        <w:gridCol w:w="250"/>
        <w:gridCol w:w="219"/>
        <w:gridCol w:w="497"/>
        <w:gridCol w:w="109"/>
        <w:gridCol w:w="109"/>
        <w:gridCol w:w="109"/>
        <w:gridCol w:w="292"/>
        <w:gridCol w:w="563"/>
        <w:gridCol w:w="153"/>
        <w:gridCol w:w="109"/>
        <w:gridCol w:w="109"/>
        <w:gridCol w:w="109"/>
        <w:gridCol w:w="337"/>
        <w:gridCol w:w="183"/>
        <w:gridCol w:w="545"/>
      </w:tblGrid>
      <w:tr>
        <w:trPr/>
        <w:tc>
          <w:tcPr>
            <w:tcW w:w="94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r>
      <w:tr>
        <w:trPr/>
        <w:tc>
          <w:tcPr>
            <w:tcW w:w="213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r>
        <w:trPr/>
        <w:tc>
          <w:tcPr>
            <w:tcW w:w="2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1" w:type="dxa"/>
            <w:gridSpan w:val="15"/>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8"/>
              </w:rPr>
            </w:pPr>
            <w:r>
              <w:rPr>
                <w:rFonts w:ascii="Helvetica;sans-serif" w:hAnsi="Helvetica;sans-serif"/>
                <w:b/>
                <w:color w:val="000000"/>
                <w:sz w:val="18"/>
              </w:rPr>
              <w:t>Three Months Ended</w:t>
              <w:b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93" w:type="dxa"/>
            <w:gridSpan w:val="15"/>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8"/>
              </w:rPr>
            </w:pPr>
            <w:r>
              <w:rPr>
                <w:rFonts w:ascii="Helvetica;sans-serif" w:hAnsi="Helvetica;sans-serif"/>
                <w:b/>
                <w:color w:val="000000"/>
                <w:sz w:val="18"/>
              </w:rPr>
              <w:t>Nine Months Ended</w:t>
              <w:br/>
              <w:t>September 30, 2025</w:t>
            </w:r>
          </w:p>
        </w:tc>
      </w:tr>
      <w:tr>
        <w:trPr/>
        <w:tc>
          <w:tcPr>
            <w:tcW w:w="2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1" w:type="dxa"/>
            <w:gridSpan w:val="15"/>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93" w:type="dxa"/>
            <w:gridSpan w:val="15"/>
            <w:vMerge w:val="continue"/>
            <w:tcBorders/>
            <w:tcMar>
              <w:top w:w="0" w:type="dxa"/>
              <w:left w:w="0" w:type="dxa"/>
              <w:bottom w:w="0" w:type="dxa"/>
              <w:right w:w="0" w:type="dxa"/>
            </w:tcMar>
            <w:vAlign w:val="center"/>
          </w:tcPr>
          <w:p>
            <w:pPr>
              <w:pStyle w:val="Normal"/>
              <w:bidi w:val="0"/>
              <w:jc w:val="left"/>
              <w:rPr/>
            </w:pPr>
            <w:r>
              <w:rPr/>
            </w:r>
          </w:p>
        </w:tc>
      </w:tr>
      <w:tr>
        <w:trPr/>
        <w:tc>
          <w:tcPr>
            <w:tcW w:w="21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(in millions)</w:t>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8"/>
              </w:rPr>
            </w:pPr>
            <w:r>
              <w:rPr>
                <w:rFonts w:ascii="Helvetica;sans-serif" w:hAnsi="Helvetica;sans-serif"/>
                <w:b w:val="false"/>
                <w:color w:val="000000"/>
                <w:sz w:val="18"/>
              </w:rPr>
              <w:t>As 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8"/>
              </w:rPr>
            </w:pPr>
            <w:r>
              <w:rPr>
                <w:rFonts w:ascii="Helvetica;sans-serif" w:hAnsi="Helvetica;sans-serif"/>
                <w:b w:val="false"/>
                <w:color w:val="000000"/>
                <w:sz w:val="18"/>
              </w:rPr>
              <w:t>Effects of Foreign 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8"/>
              </w:rPr>
            </w:pPr>
            <w:r>
              <w:rPr>
                <w:rFonts w:ascii="Helvetica;sans-serif" w:hAnsi="Helvetica;sans-serif"/>
                <w:b w:val="false"/>
                <w:color w:val="000000"/>
                <w:sz w:val="18"/>
              </w:rPr>
              <w:t>Constant Currency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8"/>
              </w:rPr>
            </w:pPr>
            <w:r>
              <w:rPr>
                <w:rFonts w:ascii="Helvetica;sans-serif" w:hAnsi="Helvetica;sans-serif"/>
                <w:b w:val="false"/>
                <w:color w:val="000000"/>
                <w:sz w:val="18"/>
              </w:rPr>
              <w:t>As 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8"/>
              </w:rPr>
            </w:pPr>
            <w:r>
              <w:rPr>
                <w:rFonts w:ascii="Helvetica;sans-serif" w:hAnsi="Helvetica;sans-serif"/>
                <w:b w:val="false"/>
                <w:color w:val="000000"/>
                <w:sz w:val="18"/>
              </w:rPr>
              <w:t>Effects of Foreign 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val="false"/>
                <w:color w:val="000000"/>
                <w:sz w:val="18"/>
              </w:rPr>
            </w:pPr>
            <w:r>
              <w:rPr>
                <w:rFonts w:ascii="Helvetica;sans-serif" w:hAnsi="Helvetica;sans-serif"/>
                <w:b w:val="false"/>
                <w:color w:val="000000"/>
                <w:sz w:val="18"/>
              </w:rPr>
              <w:t>Constant Currency Amounts</w:t>
            </w:r>
          </w:p>
        </w:tc>
      </w:tr>
      <w:tr>
        <w:trPr/>
        <w:tc>
          <w:tcPr>
            <w:tcW w:w="21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8"/>
              </w:rPr>
            </w:pPr>
            <w:r>
              <w:rPr>
                <w:rFonts w:ascii="Helvetica;sans-serif" w:hAnsi="Helvetica;sans-serif"/>
                <w:b/>
                <w:color w:val="000000"/>
                <w:sz w:val="18"/>
              </w:rPr>
              <w:t>Reconciliation of Connectivity &amp; Platforms Constant Currency</w:t>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8"/>
              </w:rPr>
            </w:pPr>
            <w:r>
              <w:rPr>
                <w:rFonts w:ascii="Helvetica;sans-serif" w:hAnsi="Helvetica;sans-serif"/>
                <w:b/>
                <w:color w:val="000000"/>
                <w:sz w:val="18"/>
              </w:rPr>
              <w:t>Connectivity &amp; Platforms Revenue</w:t>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 xml:space="preserve">Residential Connectivity &amp; Platforms </w:t>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$17,636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($22)</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$17,613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$53,140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$325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$53,466</w:t>
            </w:r>
          </w:p>
        </w:tc>
      </w:tr>
      <w:tr>
        <w:trPr/>
        <w:tc>
          <w:tcPr>
            <w:tcW w:w="21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 xml:space="preserve">Business Services Connectivity </w:t>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2,576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2,576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7,647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7,648</w:t>
            </w:r>
          </w:p>
        </w:tc>
      </w:tr>
      <w:tr>
        <w:trPr/>
        <w:tc>
          <w:tcPr>
            <w:tcW w:w="21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8"/>
              </w:rPr>
            </w:pPr>
            <w:r>
              <w:rPr>
                <w:rFonts w:ascii="Helvetica;sans-serif" w:hAnsi="Helvetica;sans-serif"/>
                <w:b/>
                <w:color w:val="000000"/>
                <w:sz w:val="18"/>
              </w:rPr>
              <w:t>Total Connectivity &amp; Platforms Revenue</w:t>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8"/>
              </w:rPr>
            </w:pPr>
            <w:r>
              <w:rPr>
                <w:rFonts w:ascii="Helvetica;sans-serif" w:hAnsi="Helvetica;sans-serif"/>
                <w:b/>
                <w:color w:val="000000"/>
                <w:sz w:val="18"/>
              </w:rPr>
              <w:t>$20,212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8"/>
              </w:rPr>
            </w:pPr>
            <w:r>
              <w:rPr>
                <w:rFonts w:ascii="Helvetica;sans-serif" w:hAnsi="Helvetica;sans-serif"/>
                <w:b/>
                <w:color w:val="000000"/>
                <w:sz w:val="18"/>
              </w:rPr>
              <w:t>($22)</w:t>
            </w:r>
          </w:p>
        </w:tc>
        <w:tc>
          <w:tcPr>
            <w:tcW w:w="15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8"/>
              </w:rPr>
            </w:pPr>
            <w:r>
              <w:rPr>
                <w:rFonts w:ascii="Helvetica;sans-serif" w:hAnsi="Helvetica;sans-serif"/>
                <w:b/>
                <w:color w:val="000000"/>
                <w:sz w:val="18"/>
              </w:rPr>
              <w:t>$20,189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8"/>
              </w:rPr>
            </w:pPr>
            <w:r>
              <w:rPr>
                <w:rFonts w:ascii="Helvetica;sans-serif" w:hAnsi="Helvetica;sans-serif"/>
                <w:b/>
                <w:color w:val="000000"/>
                <w:sz w:val="18"/>
              </w:rPr>
              <w:t>$60,787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8"/>
              </w:rPr>
            </w:pPr>
            <w:r>
              <w:rPr>
                <w:rFonts w:ascii="Helvetica;sans-serif" w:hAnsi="Helvetica;sans-serif"/>
                <w:b/>
                <w:color w:val="000000"/>
                <w:sz w:val="18"/>
              </w:rPr>
              <w:t>$327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8"/>
              </w:rPr>
            </w:pPr>
            <w:r>
              <w:rPr>
                <w:rFonts w:ascii="Helvetica;sans-serif" w:hAnsi="Helvetica;sans-serif"/>
                <w:b/>
                <w:color w:val="000000"/>
                <w:sz w:val="18"/>
              </w:rPr>
              <w:t>$61,114</w:t>
            </w:r>
          </w:p>
        </w:tc>
      </w:tr>
      <w:tr>
        <w:trPr/>
        <w:tc>
          <w:tcPr>
            <w:tcW w:w="2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8"/>
              </w:rPr>
            </w:pPr>
            <w:r>
              <w:rPr>
                <w:rFonts w:ascii="Helvetica;sans-serif" w:hAnsi="Helvetica;sans-serif"/>
                <w:b/>
                <w:color w:val="000000"/>
                <w:sz w:val="18"/>
              </w:rPr>
              <w:t>Connectivity and Platforms Adjusted EBITDA</w:t>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 xml:space="preserve">Residential Connectivity &amp; Platforms </w:t>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$6,484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$6,485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$20,332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$46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$20,378</w:t>
            </w:r>
          </w:p>
        </w:tc>
      </w:tr>
      <w:tr>
        <w:trPr/>
        <w:tc>
          <w:tcPr>
            <w:tcW w:w="21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 xml:space="preserve">Business Services Connectivity </w:t>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1,454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1,454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4,320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4,318</w:t>
            </w:r>
          </w:p>
        </w:tc>
      </w:tr>
      <w:tr>
        <w:trPr/>
        <w:tc>
          <w:tcPr>
            <w:tcW w:w="21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8"/>
              </w:rPr>
            </w:pPr>
            <w:r>
              <w:rPr>
                <w:rFonts w:ascii="Helvetica;sans-serif" w:hAnsi="Helvetica;sans-serif"/>
                <w:b/>
                <w:color w:val="000000"/>
                <w:sz w:val="18"/>
              </w:rPr>
              <w:t>Total Connectivity &amp; Platforms Adjusted EBITDA</w:t>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8"/>
              </w:rPr>
            </w:pPr>
            <w:r>
              <w:rPr>
                <w:rFonts w:ascii="Helvetica;sans-serif" w:hAnsi="Helvetica;sans-serif"/>
                <w:b/>
                <w:color w:val="000000"/>
                <w:sz w:val="18"/>
              </w:rPr>
              <w:t>$7,938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w:t>
            </w:r>
            <w:r>
              <w:rPr>
                <w:color w:val="000000"/>
              </w:rPr>
              <w:t> </w:t>
            </w:r>
          </w:p>
        </w:tc>
        <w:tc>
          <w:tcPr>
            <w:tcW w:w="15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8"/>
              </w:rPr>
            </w:pPr>
            <w:r>
              <w:rPr>
                <w:rFonts w:ascii="Helvetica;sans-serif" w:hAnsi="Helvetica;sans-serif"/>
                <w:b/>
                <w:color w:val="000000"/>
                <w:sz w:val="18"/>
              </w:rPr>
              <w:t>$7,939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8"/>
              </w:rPr>
            </w:pPr>
            <w:r>
              <w:rPr>
                <w:rFonts w:ascii="Helvetica;sans-serif" w:hAnsi="Helvetica;sans-serif"/>
                <w:b/>
                <w:color w:val="000000"/>
                <w:sz w:val="18"/>
              </w:rPr>
              <w:t>$24,652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8"/>
              </w:rPr>
            </w:pPr>
            <w:r>
              <w:rPr>
                <w:rFonts w:ascii="Helvetica;sans-serif" w:hAnsi="Helvetica;sans-serif"/>
                <w:b/>
                <w:color w:val="000000"/>
                <w:sz w:val="18"/>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8"/>
              </w:rPr>
            </w:pPr>
            <w:r>
              <w:rPr>
                <w:rFonts w:ascii="Helvetica;sans-serif" w:hAnsi="Helvetica;sans-serif"/>
                <w:b/>
                <w:color w:val="000000"/>
                <w:sz w:val="18"/>
              </w:rPr>
              <w:t>$24,696</w:t>
            </w:r>
          </w:p>
        </w:tc>
      </w:tr>
      <w:tr>
        <w:trPr/>
        <w:tc>
          <w:tcPr>
            <w:tcW w:w="2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8"/>
              </w:rPr>
            </w:pPr>
            <w:r>
              <w:rPr>
                <w:rFonts w:ascii="Helvetica;sans-serif" w:hAnsi="Helvetica;sans-serif"/>
                <w:b/>
                <w:color w:val="000000"/>
                <w:sz w:val="18"/>
              </w:rPr>
              <w:t>Connectivity &amp; Platforms Adjusted EBITDA Margin</w:t>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 xml:space="preserve">Residential Connectivity &amp; Platforms </w:t>
            </w:r>
          </w:p>
        </w:tc>
        <w:tc>
          <w:tcPr>
            <w:tcW w:w="4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36.8</w:t>
            </w:r>
          </w:p>
        </w:tc>
        <w:tc>
          <w:tcPr>
            <w:tcW w:w="497" w:type="dxa"/>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xml:space="preserve">— </w:t>
            </w:r>
            <w:r>
              <w:rPr>
                <w:rFonts w:ascii="Helvetica;sans-serif" w:hAnsi="Helvetica;sans-serif"/>
                <w:b w:val="false"/>
                <w:color w:val="000000"/>
                <w:sz w:val="18"/>
              </w:rPr>
              <w:t>bps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36.8</w:t>
            </w:r>
          </w:p>
        </w:tc>
        <w:tc>
          <w:tcPr>
            <w:tcW w:w="566" w:type="dxa"/>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38.3</w:t>
            </w:r>
          </w:p>
        </w:tc>
        <w:tc>
          <w:tcPr>
            <w:tcW w:w="497" w:type="dxa"/>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(20) bps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38.1</w:t>
            </w:r>
          </w:p>
        </w:tc>
        <w:tc>
          <w:tcPr>
            <w:tcW w:w="545" w:type="dxa"/>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r>
      <w:tr>
        <w:trPr/>
        <w:tc>
          <w:tcPr>
            <w:tcW w:w="21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Business Services Connectivity</w:t>
            </w:r>
          </w:p>
        </w:tc>
        <w:tc>
          <w:tcPr>
            <w:tcW w:w="4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56.4</w:t>
            </w:r>
          </w:p>
        </w:tc>
        <w:tc>
          <w:tcPr>
            <w:tcW w:w="497" w:type="dxa"/>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xml:space="preserve">— </w:t>
            </w:r>
            <w:r>
              <w:rPr>
                <w:rFonts w:ascii="Helvetica;sans-serif" w:hAnsi="Helvetica;sans-serif"/>
                <w:b w:val="false"/>
                <w:color w:val="000000"/>
                <w:sz w:val="18"/>
              </w:rPr>
              <w:t>bps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56.4</w:t>
            </w:r>
          </w:p>
        </w:tc>
        <w:tc>
          <w:tcPr>
            <w:tcW w:w="566" w:type="dxa"/>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56.5</w:t>
            </w:r>
          </w:p>
        </w:tc>
        <w:tc>
          <w:tcPr>
            <w:tcW w:w="497" w:type="dxa"/>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xml:space="preserve">— </w:t>
            </w:r>
            <w:r>
              <w:rPr>
                <w:rFonts w:ascii="Helvetica;sans-serif" w:hAnsi="Helvetica;sans-serif"/>
                <w:b w:val="false"/>
                <w:color w:val="000000"/>
                <w:sz w:val="18"/>
              </w:rPr>
              <w:t>bps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56.5</w:t>
            </w:r>
          </w:p>
        </w:tc>
        <w:tc>
          <w:tcPr>
            <w:tcW w:w="545" w:type="dxa"/>
            <w:tcBorders/>
            <w:tcMar>
              <w:top w:w="0" w:type="dxa"/>
              <w:left w:w="0" w:type="dxa"/>
              <w:bottom w:w="0" w:type="dxa"/>
              <w:right w:w="0" w:type="dxa"/>
            </w:tcMar>
            <w:vAlign w:val="center"/>
          </w:tcPr>
          <w:p>
            <w:pPr>
              <w:pStyle w:val="TableContents"/>
              <w:bidi w:val="0"/>
              <w:spacing w:lineRule="auto" w:line="240" w:before="0" w:after="283"/>
              <w:ind w:left="0" w:right="0" w:hanging="180"/>
              <w:jc w:val="left"/>
              <w:rPr>
                <w:rFonts w:ascii="Helvetica;sans-serif" w:hAnsi="Helvetica;sans-serif"/>
                <w:b w:val="false"/>
                <w:color w:val="000000"/>
                <w:sz w:val="18"/>
              </w:rPr>
            </w:pPr>
            <w:r>
              <w:rPr>
                <w:rFonts w:ascii="Helvetica;sans-serif" w:hAnsi="Helvetica;sans-serif"/>
                <w:b w:val="false"/>
                <w:color w:val="000000"/>
                <w:sz w:val="18"/>
              </w:rPr>
              <w:t>%</w:t>
            </w:r>
          </w:p>
        </w:tc>
      </w:tr>
      <w:tr>
        <w:trPr/>
        <w:tc>
          <w:tcPr>
            <w:tcW w:w="21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8"/>
              </w:rPr>
            </w:pPr>
            <w:r>
              <w:rPr>
                <w:rFonts w:ascii="Helvetica;sans-serif" w:hAnsi="Helvetica;sans-serif"/>
                <w:b/>
                <w:color w:val="000000"/>
                <w:sz w:val="18"/>
              </w:rPr>
              <w:t>Total Connectivity &amp; Platforms Adjusted EBITDA Margin</w:t>
            </w:r>
          </w:p>
        </w:tc>
        <w:tc>
          <w:tcPr>
            <w:tcW w:w="46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8"/>
              </w:rPr>
            </w:pPr>
            <w:r>
              <w:rPr>
                <w:rFonts w:ascii="Helvetica;sans-serif" w:hAnsi="Helvetica;sans-serif"/>
                <w:b/>
                <w:color w:val="000000"/>
                <w:sz w:val="18"/>
              </w:rPr>
              <w:t>39.3</w:t>
            </w:r>
          </w:p>
        </w:tc>
        <w:tc>
          <w:tcPr>
            <w:tcW w:w="49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8"/>
              </w:rPr>
            </w:pPr>
            <w:r>
              <w:rPr>
                <w:rFonts w:ascii="Helvetica;sans-serif" w:hAnsi="Helvetica;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xml:space="preserve">— </w:t>
            </w:r>
            <w:r>
              <w:rPr>
                <w:rFonts w:ascii="Helvetica;sans-serif" w:hAnsi="Helvetica;sans-serif"/>
                <w:b/>
                <w:color w:val="000000"/>
                <w:sz w:val="18"/>
              </w:rPr>
              <w:t>bps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8"/>
              </w:rPr>
            </w:pPr>
            <w:r>
              <w:rPr>
                <w:rFonts w:ascii="Helvetica;sans-serif" w:hAnsi="Helvetica;sans-serif"/>
                <w:b/>
                <w:color w:val="000000"/>
                <w:sz w:val="18"/>
              </w:rPr>
              <w:t>39.3</w:t>
            </w:r>
          </w:p>
        </w:tc>
        <w:tc>
          <w:tcPr>
            <w:tcW w:w="5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8"/>
              </w:rPr>
            </w:pPr>
            <w:r>
              <w:rPr>
                <w:rFonts w:ascii="Helvetica;sans-serif" w:hAnsi="Helvetica;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8"/>
              </w:rPr>
            </w:pPr>
            <w:r>
              <w:rPr>
                <w:rFonts w:ascii="Helvetica;sans-serif" w:hAnsi="Helvetica;sans-serif"/>
                <w:b/>
                <w:color w:val="000000"/>
                <w:sz w:val="18"/>
              </w:rPr>
              <w:t>40.6</w:t>
            </w:r>
          </w:p>
        </w:tc>
        <w:tc>
          <w:tcPr>
            <w:tcW w:w="49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8"/>
              </w:rPr>
            </w:pPr>
            <w:r>
              <w:rPr>
                <w:rFonts w:ascii="Helvetica;sans-serif" w:hAnsi="Helvetica;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8"/>
              </w:rPr>
            </w:pPr>
            <w:r>
              <w:rPr>
                <w:rFonts w:ascii="Helvetica;sans-serif" w:hAnsi="Helvetica;sans-serif"/>
                <w:b/>
                <w:color w:val="000000"/>
                <w:sz w:val="18"/>
              </w:rPr>
              <w:t>(20) bps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8"/>
              </w:rPr>
            </w:pPr>
            <w:r>
              <w:rPr>
                <w:rFonts w:ascii="Helvetica;sans-serif" w:hAnsi="Helvetica;sans-serif"/>
                <w:b/>
                <w:color w:val="000000"/>
                <w:sz w:val="18"/>
              </w:rPr>
              <w:t>40.4</w:t>
            </w:r>
          </w:p>
        </w:tc>
        <w:tc>
          <w:tcPr>
            <w:tcW w:w="54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8"/>
              </w:rPr>
            </w:pPr>
            <w:r>
              <w:rPr>
                <w:rFonts w:ascii="Helvetica;sans-serif" w:hAnsi="Helvetica;sans-serif"/>
                <w:b/>
                <w:color w:val="000000"/>
                <w:sz w:val="18"/>
              </w:rPr>
              <w:t>%</w:t>
            </w:r>
          </w:p>
        </w:tc>
      </w:tr>
      <w:tr>
        <w:trPr/>
        <w:tc>
          <w:tcPr>
            <w:tcW w:w="2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1" w:type="dxa"/>
            <w:gridSpan w:val="15"/>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8"/>
              </w:rPr>
            </w:pPr>
            <w:r>
              <w:rPr>
                <w:rFonts w:ascii="Helvetica;sans-serif" w:hAnsi="Helvetica;sans-serif"/>
                <w:b/>
                <w:color w:val="000000"/>
                <w:sz w:val="18"/>
              </w:rPr>
              <w:t>Three Months Ended</w:t>
              <w:b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93" w:type="dxa"/>
            <w:gridSpan w:val="15"/>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8"/>
              </w:rPr>
            </w:pPr>
            <w:r>
              <w:rPr>
                <w:rFonts w:ascii="Helvetica;sans-serif" w:hAnsi="Helvetica;sans-serif"/>
                <w:b/>
                <w:color w:val="000000"/>
                <w:sz w:val="18"/>
              </w:rPr>
              <w:t>Nine Months Ended</w:t>
              <w:br/>
              <w:t>September 30, 2025</w:t>
            </w:r>
          </w:p>
        </w:tc>
      </w:tr>
      <w:tr>
        <w:trPr/>
        <w:tc>
          <w:tcPr>
            <w:tcW w:w="2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1" w:type="dxa"/>
            <w:gridSpan w:val="15"/>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93" w:type="dxa"/>
            <w:gridSpan w:val="15"/>
            <w:vMerge w:val="continue"/>
            <w:tcBorders/>
            <w:tcMar>
              <w:top w:w="0" w:type="dxa"/>
              <w:left w:w="0" w:type="dxa"/>
              <w:bottom w:w="0" w:type="dxa"/>
              <w:right w:w="0" w:type="dxa"/>
            </w:tcMar>
            <w:vAlign w:val="center"/>
          </w:tcPr>
          <w:p>
            <w:pPr>
              <w:pStyle w:val="Normal"/>
              <w:bidi w:val="0"/>
              <w:jc w:val="left"/>
              <w:rPr/>
            </w:pPr>
            <w:r>
              <w:rPr/>
            </w:r>
          </w:p>
        </w:tc>
      </w:tr>
      <w:tr>
        <w:trPr/>
        <w:tc>
          <w:tcPr>
            <w:tcW w:w="21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(in millions)</w:t>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8"/>
              </w:rPr>
            </w:pPr>
            <w:r>
              <w:rPr>
                <w:rFonts w:ascii="Helvetica;sans-serif" w:hAnsi="Helvetica;sans-serif"/>
                <w:b w:val="false"/>
                <w:color w:val="000000"/>
                <w:sz w:val="18"/>
              </w:rPr>
              <w:t>As 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8"/>
              </w:rPr>
            </w:pPr>
            <w:r>
              <w:rPr>
                <w:rFonts w:ascii="Helvetica;sans-serif" w:hAnsi="Helvetica;sans-serif"/>
                <w:b w:val="false"/>
                <w:color w:val="000000"/>
                <w:sz w:val="18"/>
              </w:rPr>
              <w:t>Effects of Foreign 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8"/>
              </w:rPr>
            </w:pPr>
            <w:r>
              <w:rPr>
                <w:rFonts w:ascii="Helvetica;sans-serif" w:hAnsi="Helvetica;sans-serif"/>
                <w:b w:val="false"/>
                <w:color w:val="000000"/>
                <w:sz w:val="18"/>
              </w:rPr>
              <w:t>Constant Currency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8"/>
              </w:rPr>
            </w:pPr>
            <w:r>
              <w:rPr>
                <w:rFonts w:ascii="Helvetica;sans-serif" w:hAnsi="Helvetica;sans-serif"/>
                <w:b w:val="false"/>
                <w:color w:val="000000"/>
                <w:sz w:val="18"/>
              </w:rPr>
              <w:t>As 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8"/>
              </w:rPr>
            </w:pPr>
            <w:r>
              <w:rPr>
                <w:rFonts w:ascii="Helvetica;sans-serif" w:hAnsi="Helvetica;sans-serif"/>
                <w:b w:val="false"/>
                <w:color w:val="000000"/>
                <w:sz w:val="18"/>
              </w:rPr>
              <w:t>Effects of Foreign 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val="false"/>
                <w:color w:val="000000"/>
                <w:sz w:val="18"/>
              </w:rPr>
            </w:pPr>
            <w:r>
              <w:rPr>
                <w:rFonts w:ascii="Helvetica;sans-serif" w:hAnsi="Helvetica;sans-serif"/>
                <w:b w:val="false"/>
                <w:color w:val="000000"/>
                <w:sz w:val="18"/>
              </w:rPr>
              <w:t>Constant Currency Amounts</w:t>
            </w:r>
          </w:p>
        </w:tc>
      </w:tr>
      <w:tr>
        <w:trPr/>
        <w:tc>
          <w:tcPr>
            <w:tcW w:w="21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8"/>
              </w:rPr>
            </w:pPr>
            <w:r>
              <w:rPr>
                <w:rFonts w:ascii="Helvetica;sans-serif" w:hAnsi="Helvetica;sans-serif"/>
                <w:b/>
                <w:color w:val="000000"/>
                <w:sz w:val="18"/>
              </w:rPr>
              <w:t>Reconciliation of Residential Connectivity &amp; Platforms Constant Currency</w:t>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8"/>
              </w:rPr>
            </w:pPr>
            <w:r>
              <w:rPr>
                <w:rFonts w:ascii="Helvetica;sans-serif" w:hAnsi="Helvetica;sans-serif"/>
                <w:b/>
                <w:color w:val="000000"/>
                <w:sz w:val="18"/>
              </w:rPr>
              <w:t>Revenue</w:t>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Domestic broadband</w:t>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$6,550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563"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$6,550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$19,878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563"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$19,878</w:t>
            </w:r>
          </w:p>
        </w:tc>
      </w:tr>
      <w:tr>
        <w:trPr/>
        <w:tc>
          <w:tcPr>
            <w:tcW w:w="21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Domestic wireless service</w:t>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915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915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2,647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2,647</w:t>
            </w:r>
          </w:p>
        </w:tc>
      </w:tr>
      <w:tr>
        <w:trPr/>
        <w:tc>
          <w:tcPr>
            <w:tcW w:w="21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Domestic convergence revenue</w:t>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7,466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7,466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22,525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22,525</w:t>
            </w:r>
          </w:p>
        </w:tc>
      </w:tr>
      <w:tr>
        <w:trPr/>
        <w:tc>
          <w:tcPr>
            <w:tcW w:w="21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Domestic wireless equipment</w:t>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331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331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917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917</w:t>
            </w:r>
          </w:p>
        </w:tc>
      </w:tr>
      <w:tr>
        <w:trPr/>
        <w:tc>
          <w:tcPr>
            <w:tcW w:w="21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International connectivity</w:t>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1,275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(5)</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1,270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3,626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89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3,715</w:t>
            </w:r>
          </w:p>
        </w:tc>
      </w:tr>
      <w:tr>
        <w:trPr/>
        <w:tc>
          <w:tcPr>
            <w:tcW w:w="21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Total residential connectivity</w:t>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8"/>
              </w:rPr>
            </w:pPr>
            <w:r>
              <w:rPr>
                <w:rFonts w:ascii="Helvetica;sans-serif" w:hAnsi="Helvetica;sans-serif"/>
                <w:b/>
                <w:color w:val="000000"/>
                <w:sz w:val="18"/>
              </w:rPr>
              <w:t>$9,071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8"/>
              </w:rPr>
            </w:pPr>
            <w:r>
              <w:rPr>
                <w:rFonts w:ascii="Helvetica;sans-serif" w:hAnsi="Helvetica;sans-serif"/>
                <w:b/>
                <w:color w:val="000000"/>
                <w:sz w:val="18"/>
              </w:rPr>
              <w:t>($5)</w:t>
            </w:r>
          </w:p>
        </w:tc>
        <w:tc>
          <w:tcPr>
            <w:tcW w:w="15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8"/>
              </w:rPr>
            </w:pPr>
            <w:r>
              <w:rPr>
                <w:rFonts w:ascii="Helvetica;sans-serif" w:hAnsi="Helvetica;sans-serif"/>
                <w:b/>
                <w:color w:val="000000"/>
                <w:sz w:val="18"/>
              </w:rPr>
              <w:t>$9,066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8"/>
              </w:rPr>
            </w:pPr>
            <w:r>
              <w:rPr>
                <w:rFonts w:ascii="Helvetica;sans-serif" w:hAnsi="Helvetica;sans-serif"/>
                <w:b/>
                <w:color w:val="000000"/>
                <w:sz w:val="18"/>
              </w:rPr>
              <w:t>$27,068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8"/>
              </w:rPr>
            </w:pPr>
            <w:r>
              <w:rPr>
                <w:rFonts w:ascii="Helvetica;sans-serif" w:hAnsi="Helvetica;sans-serif"/>
                <w:b/>
                <w:color w:val="000000"/>
                <w:sz w:val="18"/>
              </w:rPr>
              <w:t>$89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8"/>
              </w:rPr>
            </w:pPr>
            <w:r>
              <w:rPr>
                <w:rFonts w:ascii="Helvetica;sans-serif" w:hAnsi="Helvetica;sans-serif"/>
                <w:b/>
                <w:color w:val="000000"/>
                <w:sz w:val="18"/>
              </w:rPr>
              <w:t>$27,157</w:t>
            </w:r>
          </w:p>
        </w:tc>
      </w:tr>
      <w:tr>
        <w:trPr/>
        <w:tc>
          <w:tcPr>
            <w:tcW w:w="21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Video</w:t>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6,475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(14)</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6,461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19,681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182 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19,864</w:t>
            </w:r>
          </w:p>
        </w:tc>
      </w:tr>
      <w:tr>
        <w:trPr/>
        <w:tc>
          <w:tcPr>
            <w:tcW w:w="21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Advertising</w:t>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893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891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2,743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29 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2,772</w:t>
            </w:r>
          </w:p>
        </w:tc>
      </w:tr>
      <w:tr>
        <w:trPr/>
        <w:tc>
          <w:tcPr>
            <w:tcW w:w="21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Other</w:t>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1,197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1,195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3,649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25 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3,673</w:t>
            </w:r>
          </w:p>
        </w:tc>
      </w:tr>
      <w:tr>
        <w:trPr/>
        <w:tc>
          <w:tcPr>
            <w:tcW w:w="21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8"/>
              </w:rPr>
            </w:pPr>
            <w:r>
              <w:rPr>
                <w:rFonts w:ascii="Helvetica;sans-serif" w:hAnsi="Helvetica;sans-serif"/>
                <w:b/>
                <w:color w:val="000000"/>
                <w:sz w:val="18"/>
              </w:rPr>
              <w:t>Total Revenue</w:t>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8"/>
              </w:rPr>
            </w:pPr>
            <w:r>
              <w:rPr>
                <w:rFonts w:ascii="Helvetica;sans-serif" w:hAnsi="Helvetica;sans-serif"/>
                <w:b/>
                <w:color w:val="000000"/>
                <w:sz w:val="18"/>
              </w:rPr>
              <w:t>$17,636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8"/>
              </w:rPr>
            </w:pPr>
            <w:r>
              <w:rPr>
                <w:rFonts w:ascii="Helvetica;sans-serif" w:hAnsi="Helvetica;sans-serif"/>
                <w:b/>
                <w:color w:val="000000"/>
                <w:sz w:val="18"/>
              </w:rPr>
              <w:t>($22)</w:t>
            </w:r>
          </w:p>
        </w:tc>
        <w:tc>
          <w:tcPr>
            <w:tcW w:w="15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8"/>
              </w:rPr>
            </w:pPr>
            <w:r>
              <w:rPr>
                <w:rFonts w:ascii="Helvetica;sans-serif" w:hAnsi="Helvetica;sans-serif"/>
                <w:b/>
                <w:color w:val="000000"/>
                <w:sz w:val="18"/>
              </w:rPr>
              <w:t>$17,613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8"/>
              </w:rPr>
            </w:pPr>
            <w:r>
              <w:rPr>
                <w:rFonts w:ascii="Helvetica;sans-serif" w:hAnsi="Helvetica;sans-serif"/>
                <w:b/>
                <w:color w:val="000000"/>
                <w:sz w:val="18"/>
              </w:rPr>
              <w:t>$53,140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8"/>
              </w:rPr>
            </w:pPr>
            <w:r>
              <w:rPr>
                <w:rFonts w:ascii="Helvetica;sans-serif" w:hAnsi="Helvetica;sans-serif"/>
                <w:b/>
                <w:color w:val="000000"/>
                <w:sz w:val="18"/>
              </w:rPr>
              <w:t>$325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8"/>
              </w:rPr>
            </w:pPr>
            <w:r>
              <w:rPr>
                <w:rFonts w:ascii="Helvetica;sans-serif" w:hAnsi="Helvetica;sans-serif"/>
                <w:b/>
                <w:color w:val="000000"/>
                <w:sz w:val="18"/>
              </w:rPr>
              <w:t>$53,466</w:t>
            </w:r>
          </w:p>
        </w:tc>
      </w:tr>
      <w:tr>
        <w:trPr/>
        <w:tc>
          <w:tcPr>
            <w:tcW w:w="213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r>
        <w:trPr/>
        <w:tc>
          <w:tcPr>
            <w:tcW w:w="2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8"/>
              </w:rPr>
            </w:pPr>
            <w:r>
              <w:rPr>
                <w:rFonts w:ascii="Helvetica;sans-serif" w:hAnsi="Helvetica;sans-serif"/>
                <w:b/>
                <w:color w:val="000000"/>
                <w:sz w:val="18"/>
              </w:rPr>
              <w:t>Operating Expenses</w:t>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Programming</w:t>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$3,952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($9)</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$3,943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$12,057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$12,176</w:t>
            </w:r>
          </w:p>
        </w:tc>
      </w:tr>
      <w:tr>
        <w:trPr/>
        <w:tc>
          <w:tcPr>
            <w:tcW w:w="21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Non-Programming</w:t>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7,200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(14)</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7,186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20,751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160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20,912</w:t>
            </w:r>
          </w:p>
        </w:tc>
      </w:tr>
      <w:tr>
        <w:trPr/>
        <w:tc>
          <w:tcPr>
            <w:tcW w:w="21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8"/>
              </w:rPr>
            </w:pPr>
            <w:r>
              <w:rPr>
                <w:rFonts w:ascii="Helvetica;sans-serif" w:hAnsi="Helvetica;sans-serif"/>
                <w:b/>
                <w:color w:val="000000"/>
                <w:sz w:val="18"/>
              </w:rPr>
              <w:t>Total Operating Expenses</w:t>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8"/>
              </w:rPr>
            </w:pPr>
            <w:r>
              <w:rPr>
                <w:rFonts w:ascii="Helvetica;sans-serif" w:hAnsi="Helvetica;sans-serif"/>
                <w:b/>
                <w:color w:val="000000"/>
                <w:sz w:val="18"/>
              </w:rPr>
              <w:t>$11,152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8"/>
              </w:rPr>
            </w:pPr>
            <w:r>
              <w:rPr>
                <w:rFonts w:ascii="Helvetica;sans-serif" w:hAnsi="Helvetica;sans-serif"/>
                <w:b/>
                <w:color w:val="000000"/>
                <w:sz w:val="18"/>
              </w:rPr>
              <w:t>($23)</w:t>
            </w:r>
          </w:p>
        </w:tc>
        <w:tc>
          <w:tcPr>
            <w:tcW w:w="15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8"/>
              </w:rPr>
            </w:pPr>
            <w:r>
              <w:rPr>
                <w:rFonts w:ascii="Helvetica;sans-serif" w:hAnsi="Helvetica;sans-serif"/>
                <w:b/>
                <w:color w:val="000000"/>
                <w:sz w:val="18"/>
              </w:rPr>
              <w:t>$11,129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8"/>
              </w:rPr>
            </w:pPr>
            <w:r>
              <w:rPr>
                <w:rFonts w:ascii="Helvetica;sans-serif" w:hAnsi="Helvetica;sans-serif"/>
                <w:b/>
                <w:color w:val="000000"/>
                <w:sz w:val="18"/>
              </w:rPr>
              <w:t>$32,808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8"/>
              </w:rPr>
            </w:pPr>
            <w:r>
              <w:rPr>
                <w:rFonts w:ascii="Helvetica;sans-serif" w:hAnsi="Helvetica;sans-serif"/>
                <w:b/>
                <w:color w:val="000000"/>
                <w:sz w:val="18"/>
              </w:rPr>
              <w:t>$280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8"/>
              </w:rPr>
            </w:pPr>
            <w:r>
              <w:rPr>
                <w:rFonts w:ascii="Helvetica;sans-serif" w:hAnsi="Helvetica;sans-serif"/>
                <w:b/>
                <w:color w:val="000000"/>
                <w:sz w:val="18"/>
              </w:rPr>
              <w:t>$33,088</w:t>
            </w:r>
          </w:p>
        </w:tc>
      </w:tr>
      <w:tr>
        <w:trPr/>
        <w:tc>
          <w:tcPr>
            <w:tcW w:w="2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8"/>
              </w:rPr>
            </w:pPr>
            <w:r>
              <w:rPr>
                <w:rFonts w:ascii="Helvetica;sans-serif" w:hAnsi="Helvetica;sans-serif"/>
                <w:b/>
                <w:color w:val="000000"/>
                <w:sz w:val="18"/>
              </w:rPr>
              <w:t>Adjusted EBITDA</w:t>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8"/>
              </w:rPr>
            </w:pPr>
            <w:r>
              <w:rPr>
                <w:rFonts w:ascii="Helvetica;sans-serif" w:hAnsi="Helvetica;sans-serif"/>
                <w:b/>
                <w:color w:val="000000"/>
                <w:sz w:val="18"/>
              </w:rPr>
              <w:t>$6,484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w:t>
            </w:r>
            <w:r>
              <w:rPr>
                <w:color w:val="000000"/>
              </w:rPr>
              <w:t>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8"/>
              </w:rPr>
            </w:pPr>
            <w:r>
              <w:rPr>
                <w:rFonts w:ascii="Helvetica;sans-serif" w:hAnsi="Helvetica;sans-serif"/>
                <w:b/>
                <w:color w:val="000000"/>
                <w:sz w:val="18"/>
              </w:rPr>
              <w:t>$6,485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8"/>
              </w:rPr>
            </w:pPr>
            <w:r>
              <w:rPr>
                <w:rFonts w:ascii="Helvetica;sans-serif" w:hAnsi="Helvetica;sans-serif"/>
                <w:b/>
                <w:color w:val="000000"/>
                <w:sz w:val="18"/>
              </w:rPr>
              <w:t>$20,332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8"/>
              </w:rPr>
            </w:pPr>
            <w:r>
              <w:rPr>
                <w:rFonts w:ascii="Helvetica;sans-serif" w:hAnsi="Helvetica;sans-serif"/>
                <w:b/>
                <w:color w:val="000000"/>
                <w:sz w:val="18"/>
              </w:rPr>
              <w:t>$46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8"/>
              </w:rPr>
            </w:pPr>
            <w:r>
              <w:rPr>
                <w:rFonts w:ascii="Helvetica;sans-serif" w:hAnsi="Helvetica;sans-serif"/>
                <w:b/>
                <w:color w:val="000000"/>
                <w:sz w:val="18"/>
              </w:rPr>
              <w:t>$20,378</w:t>
            </w:r>
          </w:p>
        </w:tc>
      </w:tr>
      <w:tr>
        <w:trPr/>
        <w:tc>
          <w:tcPr>
            <w:tcW w:w="21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18"/>
              </w:rPr>
            </w:pPr>
            <w:r>
              <w:rPr>
                <w:rFonts w:ascii="Helvetica;sans-serif" w:hAnsi="Helvetica;sans-serif"/>
                <w:b w:val="false"/>
                <w:i/>
                <w:color w:val="000000"/>
                <w:sz w:val="18"/>
              </w:rPr>
              <w:t>Adjusted EBITDA Margin</w:t>
            </w:r>
          </w:p>
        </w:tc>
        <w:tc>
          <w:tcPr>
            <w:tcW w:w="4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8"/>
              </w:rPr>
            </w:pPr>
            <w:r>
              <w:rPr>
                <w:rFonts w:ascii="Helvetica;sans-serif" w:hAnsi="Helvetica;sans-serif"/>
                <w:b/>
                <w:color w:val="000000"/>
                <w:sz w:val="18"/>
              </w:rPr>
              <w:t>36.8</w:t>
            </w:r>
          </w:p>
        </w:tc>
        <w:tc>
          <w:tcPr>
            <w:tcW w:w="497" w:type="dxa"/>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8"/>
              </w:rPr>
            </w:pPr>
            <w:r>
              <w:rPr>
                <w:rFonts w:ascii="Helvetica;sans-serif" w:hAnsi="Helvetica;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xml:space="preserve">— </w:t>
            </w:r>
            <w:r>
              <w:rPr>
                <w:rFonts w:ascii="Helvetica;sans-serif" w:hAnsi="Helvetica;sans-serif"/>
                <w:b/>
                <w:color w:val="000000"/>
                <w:sz w:val="18"/>
              </w:rPr>
              <w:t>bps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8"/>
              </w:rPr>
            </w:pPr>
            <w:r>
              <w:rPr>
                <w:rFonts w:ascii="Helvetica;sans-serif" w:hAnsi="Helvetica;sans-serif"/>
                <w:b/>
                <w:color w:val="000000"/>
                <w:sz w:val="18"/>
              </w:rPr>
              <w:t>36.8</w:t>
            </w:r>
          </w:p>
        </w:tc>
        <w:tc>
          <w:tcPr>
            <w:tcW w:w="566" w:type="dxa"/>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8"/>
              </w:rPr>
            </w:pPr>
            <w:r>
              <w:rPr>
                <w:rFonts w:ascii="Helvetica;sans-serif" w:hAnsi="Helvetica;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8"/>
              </w:rPr>
            </w:pPr>
            <w:r>
              <w:rPr>
                <w:rFonts w:ascii="Helvetica;sans-serif" w:hAnsi="Helvetica;sans-serif"/>
                <w:b/>
                <w:color w:val="000000"/>
                <w:sz w:val="18"/>
              </w:rPr>
              <w:t>38.3</w:t>
            </w:r>
          </w:p>
        </w:tc>
        <w:tc>
          <w:tcPr>
            <w:tcW w:w="497" w:type="dxa"/>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8"/>
              </w:rPr>
            </w:pPr>
            <w:r>
              <w:rPr>
                <w:rFonts w:ascii="Helvetica;sans-serif" w:hAnsi="Helvetica;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8"/>
              </w:rPr>
            </w:pPr>
            <w:r>
              <w:rPr>
                <w:rFonts w:ascii="Helvetica;sans-serif" w:hAnsi="Helvetica;sans-serif"/>
                <w:b/>
                <w:color w:val="000000"/>
                <w:sz w:val="18"/>
              </w:rPr>
              <w:t>(20) bps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8"/>
              </w:rPr>
            </w:pPr>
            <w:r>
              <w:rPr>
                <w:rFonts w:ascii="Helvetica;sans-serif" w:hAnsi="Helvetica;sans-serif"/>
                <w:b/>
                <w:color w:val="000000"/>
                <w:sz w:val="18"/>
              </w:rPr>
              <w:t>38.1</w:t>
            </w:r>
          </w:p>
        </w:tc>
        <w:tc>
          <w:tcPr>
            <w:tcW w:w="545" w:type="dxa"/>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8"/>
              </w:rPr>
            </w:pPr>
            <w:r>
              <w:rPr>
                <w:rFonts w:ascii="Helvetica;sans-serif" w:hAnsi="Helvetica;sans-serif"/>
                <w:b/>
                <w:color w:val="000000"/>
                <w:sz w:val="18"/>
              </w:rPr>
              <w:t>%</w:t>
            </w:r>
          </w:p>
        </w:tc>
      </w:tr>
      <w:tr>
        <w:trPr/>
        <w:tc>
          <w:tcPr>
            <w:tcW w:w="213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r>
        <w:trPr/>
        <w:tc>
          <w:tcPr>
            <w:tcW w:w="213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r>
        <w:trPr/>
        <w:tc>
          <w:tcPr>
            <w:tcW w:w="213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r>
        <w:trPr/>
        <w:tc>
          <w:tcPr>
            <w:tcW w:w="213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r>
        <w:trPr/>
        <w:tc>
          <w:tcPr>
            <w:tcW w:w="213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r>
        <w:trPr/>
        <w:tc>
          <w:tcPr>
            <w:tcW w:w="213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r>
        <w:trPr/>
        <w:tc>
          <w:tcPr>
            <w:tcW w:w="213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r>
        <w:trPr/>
        <w:tc>
          <w:tcPr>
            <w:tcW w:w="213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r>
        <w:trPr/>
        <w:tc>
          <w:tcPr>
            <w:tcW w:w="213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r>
        <w:trPr/>
        <w:tc>
          <w:tcPr>
            <w:tcW w:w="213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r>
        <w:trPr/>
        <w:tc>
          <w:tcPr>
            <w:tcW w:w="213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r>
        <w:trPr/>
        <w:tc>
          <w:tcPr>
            <w:tcW w:w="213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r>
        <w:trPr/>
        <w:tc>
          <w:tcPr>
            <w:tcW w:w="213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r>
        <w:trPr/>
        <w:tc>
          <w:tcPr>
            <w:tcW w:w="213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r>
        <w:trPr/>
        <w:tc>
          <w:tcPr>
            <w:tcW w:w="213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r>
        <w:trPr/>
        <w:tc>
          <w:tcPr>
            <w:tcW w:w="213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r>
        <w:trPr/>
        <w:tc>
          <w:tcPr>
            <w:tcW w:w="213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r>
        <w:trPr/>
        <w:tc>
          <w:tcPr>
            <w:tcW w:w="213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r>
        <w:trPr/>
        <w:tc>
          <w:tcPr>
            <w:tcW w:w="213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r>
        <w:trPr/>
        <w:tc>
          <w:tcPr>
            <w:tcW w:w="213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16840"/>
                <wp:effectExtent l="0" t="0" r="0" b="0"/>
                <wp:wrapNone/>
                <wp:docPr id="27" name="Frame2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16"/>
                              </w:rPr>
                            </w:pPr>
                            <w:r>
                              <w:rPr>
                                <w:rFonts w:ascii="Helvetica;sans-serif" w:hAnsi="Helvetica;sans-serif"/>
                                <w:b w:val="false"/>
                                <w:color w:val="000000"/>
                                <w:sz w:val="16"/>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16"/>
                        </w:rPr>
                      </w:pPr>
                      <w:r>
                        <w:rPr>
                          <w:rFonts w:ascii="Helvetica;sans-serif" w:hAnsi="Helvetica;sans-serif"/>
                          <w:b w:val="false"/>
                          <w:color w:val="000000"/>
                          <w:sz w:val="16"/>
                        </w:rPr>
                        <w:t>17</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445"/>
        <w:gridCol w:w="391"/>
        <w:gridCol w:w="391"/>
        <w:gridCol w:w="391"/>
        <w:gridCol w:w="391"/>
        <w:gridCol w:w="391"/>
        <w:gridCol w:w="391"/>
        <w:gridCol w:w="391"/>
        <w:gridCol w:w="391"/>
        <w:gridCol w:w="391"/>
        <w:gridCol w:w="391"/>
        <w:gridCol w:w="391"/>
        <w:gridCol w:w="391"/>
        <w:gridCol w:w="391"/>
        <w:gridCol w:w="391"/>
        <w:gridCol w:w="391"/>
        <w:gridCol w:w="391"/>
        <w:gridCol w:w="391"/>
        <w:gridCol w:w="391"/>
        <w:gridCol w:w="391"/>
        <w:gridCol w:w="391"/>
        <w:gridCol w:w="205"/>
        <w:gridCol w:w="205"/>
        <w:gridCol w:w="205"/>
        <w:gridCol w:w="205"/>
        <w:gridCol w:w="205"/>
        <w:gridCol w:w="205"/>
        <w:gridCol w:w="205"/>
        <w:gridCol w:w="205"/>
        <w:gridCol w:w="300"/>
      </w:tblGrid>
      <w:tr>
        <w:trPr/>
        <w:tc>
          <w:tcPr>
            <w:tcW w:w="44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r>
      <w:tr>
        <w:trPr/>
        <w:tc>
          <w:tcPr>
            <w:tcW w:w="1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9"/>
            <w:vMerge w:val="restart"/>
            <w:tcBorders>
              <w:bottom w:val="single" w:sz="8" w:space="0" w:color="004EA8"/>
            </w:tcBorders>
            <w:tcMar>
              <w:top w:w="0" w:type="dxa"/>
              <w:left w:w="0" w:type="dxa"/>
              <w:right w:w="0" w:type="dxa"/>
            </w:tcMar>
            <w:vAlign w:val="center"/>
          </w:tcPr>
          <w:p>
            <w:pPr>
              <w:pStyle w:val="TableContents"/>
              <w:bidi w:val="0"/>
              <w:spacing w:before="0" w:after="0"/>
              <w:jc w:val="right"/>
              <w:rPr/>
            </w:pPr>
            <w:r>
              <w:rPr/>
              <w:drawing>
                <wp:inline distT="0" distB="0" distL="0" distR="0">
                  <wp:extent cx="1143000" cy="457200"/>
                  <wp:effectExtent l="0" t="0" r="0" b="0"/>
                  <wp:docPr id="2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8" descr=""/>
                          <pic:cNvPicPr>
                            <a:picLocks noChangeAspect="1" noChangeArrowheads="1"/>
                          </pic:cNvPicPr>
                        </pic:nvPicPr>
                        <pic:blipFill>
                          <a:blip r:embed="rId9"/>
                          <a:stretch>
                            <a:fillRect/>
                          </a:stretch>
                        </pic:blipFill>
                        <pic:spPr bwMode="auto">
                          <a:xfrm>
                            <a:off x="0" y="0"/>
                            <a:ext cx="1143000" cy="457200"/>
                          </a:xfrm>
                          <a:prstGeom prst="rect">
                            <a:avLst/>
                          </a:prstGeom>
                        </pic:spPr>
                      </pic:pic>
                    </a:graphicData>
                  </a:graphic>
                </wp:inline>
              </w:drawing>
            </w:r>
          </w:p>
        </w:tc>
      </w:tr>
      <w:tr>
        <w:trPr/>
        <w:tc>
          <w:tcPr>
            <w:tcW w:w="8265" w:type="dxa"/>
            <w:gridSpan w:val="21"/>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828282"/>
                <w:sz w:val="28"/>
              </w:rPr>
            </w:pPr>
            <w:r>
              <w:rPr>
                <w:rFonts w:ascii="Helvetica;sans-serif" w:hAnsi="Helvetica;sans-serif"/>
                <w:b/>
                <w:color w:val="828282"/>
                <w:sz w:val="28"/>
              </w:rPr>
              <w:t>TABLE 7</w:t>
            </w:r>
          </w:p>
        </w:tc>
        <w:tc>
          <w:tcPr>
            <w:tcW w:w="1940" w:type="dxa"/>
            <w:gridSpan w:val="9"/>
            <w:vMerge w:val="continue"/>
            <w:tcBorders>
              <w:bottom w:val="single" w:sz="8" w:space="0" w:color="004EA8"/>
            </w:tcBorders>
            <w:tcMar>
              <w:top w:w="0" w:type="dxa"/>
              <w:left w:w="0" w:type="dxa"/>
              <w:right w:w="0" w:type="dxa"/>
            </w:tcMar>
            <w:vAlign w:val="center"/>
          </w:tcPr>
          <w:p>
            <w:pPr>
              <w:pStyle w:val="Normal"/>
              <w:bidi w:val="0"/>
              <w:jc w:val="left"/>
              <w:rPr/>
            </w:pPr>
            <w:r>
              <w:rPr/>
            </w:r>
          </w:p>
        </w:tc>
      </w:tr>
      <w:tr>
        <w:trPr/>
        <w:tc>
          <w:tcPr>
            <w:tcW w:w="8265" w:type="dxa"/>
            <w:gridSpan w:val="21"/>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9"/>
            <w:vMerge w:val="continue"/>
            <w:tcBorders>
              <w:bottom w:val="single" w:sz="8" w:space="0" w:color="004EA8"/>
            </w:tcBorders>
            <w:tcMar>
              <w:top w:w="0" w:type="dxa"/>
              <w:left w:w="0" w:type="dxa"/>
              <w:right w:w="0" w:type="dxa"/>
            </w:tcMar>
            <w:vAlign w:val="center"/>
          </w:tcPr>
          <w:p>
            <w:pPr>
              <w:pStyle w:val="Normal"/>
              <w:bidi w:val="0"/>
              <w:jc w:val="left"/>
              <w:rPr/>
            </w:pPr>
            <w:r>
              <w:rPr/>
            </w:r>
          </w:p>
        </w:tc>
      </w:tr>
      <w:tr>
        <w:trPr/>
        <w:tc>
          <w:tcPr>
            <w:tcW w:w="8265" w:type="dxa"/>
            <w:gridSpan w:val="21"/>
            <w:tcBorders>
              <w:bottom w:val="single" w:sz="8" w:space="0" w:color="004EA8"/>
            </w:tcBorders>
            <w:tcMar>
              <w:top w:w="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828282"/>
                <w:sz w:val="21"/>
              </w:rPr>
            </w:pPr>
            <w:r>
              <w:rPr>
                <w:rFonts w:ascii="Helvetica;sans-serif" w:hAnsi="Helvetica;sans-serif"/>
                <w:b/>
                <w:color w:val="828282"/>
                <w:sz w:val="21"/>
              </w:rPr>
              <w:t>Reconciliation of Media Revenue Excluding Olympics, Super Bowl and FIFA World Cup (Unaudited)</w:t>
            </w:r>
          </w:p>
        </w:tc>
        <w:tc>
          <w:tcPr>
            <w:tcW w:w="1940" w:type="dxa"/>
            <w:gridSpan w:val="9"/>
            <w:vMerge w:val="continue"/>
            <w:tcBorders>
              <w:bottom w:val="single" w:sz="8" w:space="0" w:color="004EA8"/>
            </w:tcBorders>
            <w:tcMar>
              <w:top w:w="0" w:type="dxa"/>
              <w:left w:w="0" w:type="dxa"/>
              <w:right w:w="0" w:type="dxa"/>
            </w:tcMar>
            <w:vAlign w:val="center"/>
          </w:tcPr>
          <w:p>
            <w:pPr>
              <w:pStyle w:val="Normal"/>
              <w:bidi w:val="0"/>
              <w:jc w:val="left"/>
              <w:rPr/>
            </w:pPr>
            <w:r>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881"/>
        <w:gridCol w:w="681"/>
        <w:gridCol w:w="679"/>
        <w:gridCol w:w="370"/>
        <w:gridCol w:w="370"/>
        <w:gridCol w:w="177"/>
        <w:gridCol w:w="110"/>
        <w:gridCol w:w="110"/>
        <w:gridCol w:w="110"/>
        <w:gridCol w:w="362"/>
        <w:gridCol w:w="363"/>
        <w:gridCol w:w="177"/>
        <w:gridCol w:w="110"/>
        <w:gridCol w:w="110"/>
        <w:gridCol w:w="110"/>
        <w:gridCol w:w="234"/>
        <w:gridCol w:w="234"/>
        <w:gridCol w:w="429"/>
        <w:gridCol w:w="109"/>
        <w:gridCol w:w="109"/>
        <w:gridCol w:w="109"/>
        <w:gridCol w:w="109"/>
        <w:gridCol w:w="109"/>
        <w:gridCol w:w="109"/>
        <w:gridCol w:w="423"/>
        <w:gridCol w:w="424"/>
        <w:gridCol w:w="177"/>
        <w:gridCol w:w="117"/>
        <w:gridCol w:w="117"/>
        <w:gridCol w:w="117"/>
        <w:gridCol w:w="416"/>
        <w:gridCol w:w="416"/>
        <w:gridCol w:w="177"/>
        <w:gridCol w:w="117"/>
        <w:gridCol w:w="117"/>
        <w:gridCol w:w="117"/>
        <w:gridCol w:w="117"/>
        <w:gridCol w:w="109"/>
        <w:gridCol w:w="233"/>
        <w:gridCol w:w="233"/>
        <w:gridCol w:w="507"/>
      </w:tblGrid>
      <w:tr>
        <w:trPr/>
        <w:tc>
          <w:tcPr>
            <w:tcW w:w="881"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r>
      <w:tr>
        <w:trPr/>
        <w:tc>
          <w:tcPr>
            <w:tcW w:w="2241"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2910" w:type="dxa"/>
            <w:gridSpan w:val="14"/>
            <w:tcBorders/>
          </w:tcPr>
          <w:p>
            <w:pPr>
              <w:pStyle w:val="TableContents"/>
              <w:bidi w:val="0"/>
              <w:spacing w:before="0" w:after="283"/>
              <w:jc w:val="left"/>
              <w:rPr>
                <w:sz w:val="4"/>
                <w:szCs w:val="4"/>
              </w:rPr>
            </w:pPr>
            <w:r>
              <w:rPr>
                <w:sz w:val="4"/>
                <w:szCs w:val="4"/>
              </w:rPr>
            </w:r>
          </w:p>
        </w:tc>
      </w:tr>
      <w:tr>
        <w:trPr/>
        <w:tc>
          <w:tcPr>
            <w:tcW w:w="2241"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61" w:type="dxa"/>
            <w:gridSpan w:val="20"/>
            <w:tcBorders/>
          </w:tcPr>
          <w:p>
            <w:pPr>
              <w:pStyle w:val="TableContents"/>
              <w:bidi w:val="0"/>
              <w:spacing w:before="0" w:after="283"/>
              <w:jc w:val="left"/>
              <w:rPr>
                <w:sz w:val="4"/>
                <w:szCs w:val="4"/>
              </w:rPr>
            </w:pPr>
            <w:r>
              <w:rPr>
                <w:sz w:val="4"/>
                <w:szCs w:val="4"/>
              </w:rPr>
            </w:r>
          </w:p>
        </w:tc>
      </w:tr>
      <w:tr>
        <w:trPr/>
        <w:tc>
          <w:tcPr>
            <w:tcW w:w="2241"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r>
      <w:tr>
        <w:trPr/>
        <w:tc>
          <w:tcPr>
            <w:tcW w:w="2241"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r>
      <w:tr>
        <w:trPr/>
        <w:tc>
          <w:tcPr>
            <w:tcW w:w="2241"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r>
      <w:tr>
        <w:trPr/>
        <w:tc>
          <w:tcPr>
            <w:tcW w:w="2241"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r>
      <w:tr>
        <w:trPr/>
        <w:tc>
          <w:tcPr>
            <w:tcW w:w="2241"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r>
      <w:tr>
        <w:trPr/>
        <w:tc>
          <w:tcPr>
            <w:tcW w:w="2241"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r>
      <w:tr>
        <w:trPr/>
        <w:tc>
          <w:tcPr>
            <w:tcW w:w="2241"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r>
      <w:tr>
        <w:trPr/>
        <w:tc>
          <w:tcPr>
            <w:tcW w:w="2241"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r>
      <w:tr>
        <w:trPr/>
        <w:tc>
          <w:tcPr>
            <w:tcW w:w="2241"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r>
      <w:tr>
        <w:trPr/>
        <w:tc>
          <w:tcPr>
            <w:tcW w:w="2241" w:type="dxa"/>
            <w:gridSpan w:val="3"/>
            <w:tcBorders/>
            <w:vAlign w:val="center"/>
          </w:tcPr>
          <w:p>
            <w:pPr>
              <w:pStyle w:val="TableContents"/>
              <w:bidi w:val="0"/>
              <w:spacing w:before="0" w:after="283"/>
              <w:jc w:val="left"/>
              <w:rPr>
                <w:sz w:val="4"/>
                <w:szCs w:val="4"/>
              </w:rPr>
            </w:pPr>
            <w:r>
              <w:rPr>
                <w:sz w:val="4"/>
                <w:szCs w:val="4"/>
              </w:rPr>
            </w:r>
          </w:p>
        </w:tc>
        <w:tc>
          <w:tcPr>
            <w:tcW w:w="7964" w:type="dxa"/>
            <w:gridSpan w:val="38"/>
            <w:tcBorders/>
          </w:tcPr>
          <w:p>
            <w:pPr>
              <w:pStyle w:val="TableContents"/>
              <w:bidi w:val="0"/>
              <w:spacing w:before="0" w:after="283"/>
              <w:jc w:val="left"/>
              <w:rPr>
                <w:sz w:val="4"/>
                <w:szCs w:val="4"/>
              </w:rPr>
            </w:pPr>
            <w:r>
              <w:rPr>
                <w:sz w:val="4"/>
                <w:szCs w:val="4"/>
              </w:rPr>
            </w:r>
          </w:p>
        </w:tc>
      </w:tr>
      <w:tr>
        <w:trPr/>
        <w:tc>
          <w:tcPr>
            <w:tcW w:w="2241"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r>
      <w:tr>
        <w:trPr/>
        <w:tc>
          <w:tcPr>
            <w:tcW w:w="2241"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2910" w:type="dxa"/>
            <w:gridSpan w:val="14"/>
            <w:tcBorders/>
          </w:tcPr>
          <w:p>
            <w:pPr>
              <w:pStyle w:val="TableContents"/>
              <w:bidi w:val="0"/>
              <w:spacing w:before="0" w:after="283"/>
              <w:jc w:val="left"/>
              <w:rPr>
                <w:sz w:val="4"/>
                <w:szCs w:val="4"/>
              </w:rPr>
            </w:pPr>
            <w:r>
              <w:rPr>
                <w:sz w:val="4"/>
                <w:szCs w:val="4"/>
              </w:rPr>
            </w:r>
          </w:p>
        </w:tc>
      </w:tr>
      <w:tr>
        <w:trPr/>
        <w:tc>
          <w:tcPr>
            <w:tcW w:w="2241"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61" w:type="dxa"/>
            <w:gridSpan w:val="20"/>
            <w:tcBorders/>
          </w:tcPr>
          <w:p>
            <w:pPr>
              <w:pStyle w:val="TableContents"/>
              <w:bidi w:val="0"/>
              <w:spacing w:before="0" w:after="283"/>
              <w:jc w:val="left"/>
              <w:rPr>
                <w:sz w:val="4"/>
                <w:szCs w:val="4"/>
              </w:rPr>
            </w:pPr>
            <w:r>
              <w:rPr>
                <w:sz w:val="4"/>
                <w:szCs w:val="4"/>
              </w:rPr>
            </w:r>
          </w:p>
        </w:tc>
      </w:tr>
      <w:tr>
        <w:trPr/>
        <w:tc>
          <w:tcPr>
            <w:tcW w:w="2241"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r>
      <w:tr>
        <w:trPr/>
        <w:tc>
          <w:tcPr>
            <w:tcW w:w="2241"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r>
      <w:tr>
        <w:trPr/>
        <w:tc>
          <w:tcPr>
            <w:tcW w:w="2241"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r>
      <w:tr>
        <w:trPr/>
        <w:tc>
          <w:tcPr>
            <w:tcW w:w="2241"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r>
      <w:tr>
        <w:trPr/>
        <w:tc>
          <w:tcPr>
            <w:tcW w:w="2241"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r>
      <w:tr>
        <w:trPr/>
        <w:tc>
          <w:tcPr>
            <w:tcW w:w="2241"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r>
      <w:tr>
        <w:trPr/>
        <w:tc>
          <w:tcPr>
            <w:tcW w:w="2241"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r>
      <w:tr>
        <w:trPr/>
        <w:tc>
          <w:tcPr>
            <w:tcW w:w="2241"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r>
      <w:tr>
        <w:trPr/>
        <w:tc>
          <w:tcPr>
            <w:tcW w:w="2241"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r>
      <w:tr>
        <w:trPr/>
        <w:tc>
          <w:tcPr>
            <w:tcW w:w="2241"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r>
      <w:tr>
        <w:trPr/>
        <w:tc>
          <w:tcPr>
            <w:tcW w:w="2241"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r>
      <w:tr>
        <w:trPr/>
        <w:tc>
          <w:tcPr>
            <w:tcW w:w="2241"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r>
      <w:tr>
        <w:trPr/>
        <w:tc>
          <w:tcPr>
            <w:tcW w:w="2241"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r>
      <w:tr>
        <w:trPr/>
        <w:tc>
          <w:tcPr>
            <w:tcW w:w="2241"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r>
      <w:tr>
        <w:trPr/>
        <w:tc>
          <w:tcPr>
            <w:tcW w:w="2241"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r>
      <w:tr>
        <w:trPr/>
        <w:tc>
          <w:tcPr>
            <w:tcW w:w="2241"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r>
      <w:tr>
        <w:trPr/>
        <w:tc>
          <w:tcPr>
            <w:tcW w:w="2241"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r>
      <w:tr>
        <w:trPr/>
        <w:tc>
          <w:tcPr>
            <w:tcW w:w="2241"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r>
      <w:tr>
        <w:trPr/>
        <w:tc>
          <w:tcPr>
            <w:tcW w:w="2241"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r>
      <w:tr>
        <w:trPr/>
        <w:tc>
          <w:tcPr>
            <w:tcW w:w="2241" w:type="dxa"/>
            <w:gridSpan w:val="3"/>
            <w:tcBorders/>
            <w:vAlign w:val="center"/>
          </w:tcPr>
          <w:p>
            <w:pPr>
              <w:pStyle w:val="TableContents"/>
              <w:bidi w:val="0"/>
              <w:spacing w:before="0" w:after="283"/>
              <w:jc w:val="left"/>
              <w:rPr>
                <w:sz w:val="4"/>
                <w:szCs w:val="4"/>
              </w:rPr>
            </w:pPr>
            <w:r>
              <w:rPr>
                <w:sz w:val="4"/>
                <w:szCs w:val="4"/>
              </w:rPr>
            </w:r>
          </w:p>
        </w:tc>
        <w:tc>
          <w:tcPr>
            <w:tcW w:w="7964" w:type="dxa"/>
            <w:gridSpan w:val="38"/>
            <w:tcBorders/>
          </w:tcPr>
          <w:p>
            <w:pPr>
              <w:pStyle w:val="TableContents"/>
              <w:bidi w:val="0"/>
              <w:spacing w:before="0" w:after="283"/>
              <w:jc w:val="left"/>
              <w:rPr>
                <w:sz w:val="4"/>
                <w:szCs w:val="4"/>
              </w:rPr>
            </w:pPr>
            <w:r>
              <w:rPr>
                <w:sz w:val="4"/>
                <w:szCs w:val="4"/>
              </w:rPr>
            </w:r>
          </w:p>
        </w:tc>
      </w:tr>
      <w:tr>
        <w:trPr/>
        <w:tc>
          <w:tcPr>
            <w:tcW w:w="22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6" w:type="dxa"/>
            <w:gridSpan w:val="15"/>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8"/>
              </w:rPr>
            </w:pPr>
            <w:r>
              <w:rPr>
                <w:rFonts w:ascii="Helvetica;sans-serif" w:hAnsi="Helvetica;sans-serif"/>
                <w:b/>
                <w:color w:val="000000"/>
                <w:sz w:val="18"/>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852" w:type="dxa"/>
            <w:gridSpan w:val="1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8"/>
              </w:rPr>
            </w:pPr>
            <w:r>
              <w:rPr>
                <w:rFonts w:ascii="Helvetica;sans-serif" w:hAnsi="Helvetica;sans-serif"/>
                <w:b/>
                <w:color w:val="000000"/>
                <w:sz w:val="18"/>
              </w:rPr>
              <w:t>Nine Months Ended</w:t>
              <w:br/>
              <w:t>September 30,</w:t>
            </w:r>
          </w:p>
        </w:tc>
        <w:tc>
          <w:tcPr>
            <w:tcW w:w="1082" w:type="dxa"/>
            <w:gridSpan w:val="4"/>
            <w:tcBorders/>
          </w:tcPr>
          <w:p>
            <w:pPr>
              <w:pStyle w:val="TableContents"/>
              <w:bidi w:val="0"/>
              <w:spacing w:before="0" w:after="283"/>
              <w:jc w:val="left"/>
              <w:rPr>
                <w:sz w:val="4"/>
                <w:szCs w:val="4"/>
              </w:rPr>
            </w:pPr>
            <w:r>
              <w:rPr>
                <w:sz w:val="4"/>
                <w:szCs w:val="4"/>
              </w:rPr>
            </w:r>
          </w:p>
        </w:tc>
      </w:tr>
      <w:tr>
        <w:trPr/>
        <w:tc>
          <w:tcPr>
            <w:tcW w:w="22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6" w:type="dxa"/>
            <w:gridSpan w:val="15"/>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852" w:type="dxa"/>
            <w:gridSpan w:val="13"/>
            <w:vMerge w:val="continue"/>
            <w:tcBorders/>
            <w:tcMar>
              <w:top w:w="0" w:type="dxa"/>
              <w:left w:w="0" w:type="dxa"/>
              <w:bottom w:w="0" w:type="dxa"/>
              <w:right w:w="0" w:type="dxa"/>
            </w:tcMar>
            <w:vAlign w:val="center"/>
          </w:tcPr>
          <w:p>
            <w:pPr>
              <w:pStyle w:val="Normal"/>
              <w:bidi w:val="0"/>
              <w:jc w:val="left"/>
              <w:rPr/>
            </w:pPr>
            <w:r>
              <w:rPr/>
            </w:r>
          </w:p>
        </w:tc>
        <w:tc>
          <w:tcPr>
            <w:tcW w:w="1082" w:type="dxa"/>
            <w:gridSpan w:val="4"/>
            <w:tcBorders/>
          </w:tcPr>
          <w:p>
            <w:pPr>
              <w:pStyle w:val="TableContents"/>
              <w:bidi w:val="0"/>
              <w:spacing w:before="0" w:after="283"/>
              <w:jc w:val="left"/>
              <w:rPr>
                <w:sz w:val="4"/>
                <w:szCs w:val="4"/>
              </w:rPr>
            </w:pPr>
            <w:r>
              <w:rPr>
                <w:sz w:val="4"/>
                <w:szCs w:val="4"/>
              </w:rPr>
            </w:r>
          </w:p>
        </w:tc>
      </w:tr>
      <w:tr>
        <w:trPr/>
        <w:tc>
          <w:tcPr>
            <w:tcW w:w="22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(in millions)</w:t>
            </w:r>
          </w:p>
        </w:tc>
        <w:tc>
          <w:tcPr>
            <w:tcW w:w="9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8"/>
              </w:rPr>
            </w:pPr>
            <w:r>
              <w:rPr>
                <w:rFonts w:ascii="Helvetica;sans-serif" w:hAnsi="Helvetica;sans-serif"/>
                <w:b/>
                <w:color w:val="000000"/>
                <w:sz w:val="18"/>
              </w:rPr>
              <w:t>2026</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8"/>
              </w:rPr>
            </w:pPr>
            <w:r>
              <w:rPr>
                <w:rFonts w:ascii="Helvetica;sans-serif" w:hAnsi="Helvetica;sans-serif"/>
                <w:b w:val="false"/>
                <w:color w:val="000000"/>
                <w:sz w:val="18"/>
              </w:rPr>
              <w:t>2025</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8"/>
              </w:rPr>
            </w:pPr>
            <w:r>
              <w:rPr>
                <w:rFonts w:ascii="Helvetica;sans-serif" w:hAnsi="Helvetica;sans-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8"/>
              </w:rPr>
            </w:pPr>
            <w:r>
              <w:rPr>
                <w:rFonts w:ascii="Helvetica;sans-serif" w:hAnsi="Helvetica;sans-serif"/>
                <w:b/>
                <w:color w:val="000000"/>
                <w:sz w:val="18"/>
              </w:rPr>
              <w:t>2026</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8"/>
              </w:rPr>
            </w:pPr>
            <w:r>
              <w:rPr>
                <w:rFonts w:ascii="Helvetica;sans-serif" w:hAnsi="Helvetica;sans-serif"/>
                <w:b w:val="false"/>
                <w:color w:val="000000"/>
                <w:sz w:val="18"/>
              </w:rPr>
              <w:t>2025</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8"/>
              </w:rPr>
            </w:pPr>
            <w:r>
              <w:rPr>
                <w:rFonts w:ascii="Helvetica;sans-serif" w:hAnsi="Helvetica;sans-serif"/>
                <w:b/>
                <w:color w:val="000000"/>
                <w:sz w:val="18"/>
              </w:rPr>
              <w:t>Change</w:t>
            </w:r>
          </w:p>
        </w:tc>
      </w:tr>
      <w:tr>
        <w:trPr/>
        <w:tc>
          <w:tcPr>
            <w:tcW w:w="22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Revenue</w:t>
            </w:r>
          </w:p>
        </w:tc>
        <w:tc>
          <w:tcPr>
            <w:tcW w:w="74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$5,359</w:t>
            </w:r>
            <w:r>
              <w:rPr>
                <w:color w:val="000000"/>
              </w:rPr>
              <w:t>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$4,744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13.0</w:t>
            </w:r>
          </w:p>
        </w:tc>
        <w:tc>
          <w:tcPr>
            <w:tcW w:w="429" w:type="dxa"/>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$18,330</w:t>
            </w:r>
            <w:r>
              <w:rPr>
                <w:color w:val="000000"/>
              </w:rPr>
              <w:t>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$13,813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32.7</w:t>
            </w:r>
          </w:p>
        </w:tc>
        <w:tc>
          <w:tcPr>
            <w:tcW w:w="507" w:type="dxa"/>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r>
      <w:tr>
        <w:trPr/>
        <w:tc>
          <w:tcPr>
            <w:tcW w:w="22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Milan Cortina Olympics</w:t>
            </w:r>
          </w:p>
        </w:tc>
        <w:tc>
          <w:tcPr>
            <w:tcW w:w="74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1,420</w:t>
            </w:r>
            <w:r>
              <w:rPr>
                <w:color w:val="000000"/>
              </w:rPr>
              <w:t>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3"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2026 Super Bowl</w:t>
            </w:r>
          </w:p>
        </w:tc>
        <w:tc>
          <w:tcPr>
            <w:tcW w:w="74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758</w:t>
            </w:r>
            <w:r>
              <w:rPr>
                <w:color w:val="000000"/>
              </w:rPr>
              <w:t>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3"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2026 FIFA World Cup</w:t>
            </w:r>
          </w:p>
        </w:tc>
        <w:tc>
          <w:tcPr>
            <w:tcW w:w="74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224</w:t>
            </w:r>
            <w:r>
              <w:rPr>
                <w:color w:val="000000"/>
              </w:rPr>
              <w:t>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664</w:t>
            </w:r>
            <w:r>
              <w:rPr>
                <w:color w:val="000000"/>
              </w:rPr>
              <w:t>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3"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Revenue excluding Olympics, Super Bowl and FIFA World Cup</w:t>
            </w:r>
          </w:p>
        </w:tc>
        <w:tc>
          <w:tcPr>
            <w:tcW w:w="74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$5,136</w:t>
            </w:r>
            <w:r>
              <w:rPr>
                <w:color w:val="000000"/>
              </w:rPr>
              <w:t>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$4,744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8.3</w:t>
            </w:r>
          </w:p>
        </w:tc>
        <w:tc>
          <w:tcPr>
            <w:tcW w:w="429" w:type="dxa"/>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$15,488</w:t>
            </w:r>
            <w:r>
              <w:rPr>
                <w:color w:val="000000"/>
              </w:rPr>
              <w:t>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$13,813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12.1</w:t>
            </w:r>
          </w:p>
        </w:tc>
        <w:tc>
          <w:tcPr>
            <w:tcW w:w="507" w:type="dxa"/>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r>
      <w:tr>
        <w:trPr/>
        <w:tc>
          <w:tcPr>
            <w:tcW w:w="22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23" w:type="dxa"/>
            <w:gridSpan w:val="37"/>
            <w:tcBorders/>
            <w:tcMar>
              <w:top w:w="0" w:type="dxa"/>
              <w:left w:w="0" w:type="dxa"/>
              <w:bottom w:w="0" w:type="dxa"/>
              <w:right w:w="0" w:type="dxa"/>
            </w:tcMar>
            <w:vAlign w:val="center"/>
          </w:tcPr>
          <w:p>
            <w:pPr>
              <w:pStyle w:val="TableContents"/>
              <w:bidi w:val="0"/>
              <w:spacing w:lineRule="auto" w:line="240" w:before="0" w:after="283"/>
              <w:jc w:val="left"/>
              <w:rPr/>
            </w:pPr>
            <w:r>
              <w:rPr>
                <w:rFonts w:ascii="Helvetica;sans-serif" w:hAnsi="Helvetica;sans-serif"/>
                <w:b/>
                <w:sz w:val="21"/>
              </w:rPr>
              <w:br/>
            </w:r>
            <w:r>
              <w:rPr>
                <w:rFonts w:ascii="Helvetica;sans-serif" w:hAnsi="Helvetica;sans-serif"/>
                <w:b/>
                <w:color w:val="828282"/>
                <w:sz w:val="21"/>
              </w:rPr>
              <w:t>Reconciliation of Media Domestic Advertising Revenue Excluding Olympics, Super Bowl and FIFA World Cup (Unaudited)</w:t>
            </w:r>
          </w:p>
        </w:tc>
        <w:tc>
          <w:tcPr>
            <w:tcW w:w="1082" w:type="dxa"/>
            <w:gridSpan w:val="4"/>
            <w:tcBorders/>
          </w:tcPr>
          <w:p>
            <w:pPr>
              <w:pStyle w:val="TableContents"/>
              <w:bidi w:val="0"/>
              <w:spacing w:before="0" w:after="283"/>
              <w:jc w:val="left"/>
              <w:rPr>
                <w:sz w:val="4"/>
                <w:szCs w:val="4"/>
              </w:rPr>
            </w:pPr>
            <w:r>
              <w:rPr>
                <w:sz w:val="4"/>
                <w:szCs w:val="4"/>
              </w:rPr>
            </w:r>
          </w:p>
        </w:tc>
      </w:tr>
      <w:tr>
        <w:trPr/>
        <w:tc>
          <w:tcPr>
            <w:tcW w:w="2241" w:type="dxa"/>
            <w:gridSpan w:val="3"/>
            <w:tcBorders>
              <w:top w:val="single" w:sz="8" w:space="0" w:color="004EA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4EA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4EA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4EA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4EA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8" w:space="0" w:color="004EA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4EA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4EA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4EA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4EA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4EA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4EA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3" w:type="dxa"/>
            <w:gridSpan w:val="3"/>
            <w:tcBorders>
              <w:top w:val="single" w:sz="8" w:space="0" w:color="004EA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6" w:type="dxa"/>
            <w:gridSpan w:val="15"/>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8"/>
              </w:rPr>
            </w:pPr>
            <w:r>
              <w:rPr>
                <w:rFonts w:ascii="Helvetica;sans-serif" w:hAnsi="Helvetica;sans-serif"/>
                <w:b/>
                <w:color w:val="000000"/>
                <w:sz w:val="18"/>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852" w:type="dxa"/>
            <w:gridSpan w:val="1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8"/>
              </w:rPr>
            </w:pPr>
            <w:r>
              <w:rPr>
                <w:rFonts w:ascii="Helvetica;sans-serif" w:hAnsi="Helvetica;sans-serif"/>
                <w:b/>
                <w:color w:val="000000"/>
                <w:sz w:val="18"/>
              </w:rPr>
              <w:t>Nine Months Ended</w:t>
              <w:br/>
              <w:t>September 30,</w:t>
            </w:r>
          </w:p>
        </w:tc>
        <w:tc>
          <w:tcPr>
            <w:tcW w:w="1082" w:type="dxa"/>
            <w:gridSpan w:val="4"/>
            <w:tcBorders/>
          </w:tcPr>
          <w:p>
            <w:pPr>
              <w:pStyle w:val="TableContents"/>
              <w:bidi w:val="0"/>
              <w:spacing w:before="0" w:after="283"/>
              <w:jc w:val="left"/>
              <w:rPr>
                <w:sz w:val="4"/>
                <w:szCs w:val="4"/>
              </w:rPr>
            </w:pPr>
            <w:r>
              <w:rPr>
                <w:sz w:val="4"/>
                <w:szCs w:val="4"/>
              </w:rPr>
            </w:r>
          </w:p>
        </w:tc>
      </w:tr>
      <w:tr>
        <w:trPr/>
        <w:tc>
          <w:tcPr>
            <w:tcW w:w="22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6" w:type="dxa"/>
            <w:gridSpan w:val="15"/>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852" w:type="dxa"/>
            <w:gridSpan w:val="13"/>
            <w:vMerge w:val="continue"/>
            <w:tcBorders/>
            <w:tcMar>
              <w:top w:w="0" w:type="dxa"/>
              <w:left w:w="0" w:type="dxa"/>
              <w:bottom w:w="0" w:type="dxa"/>
              <w:right w:w="0" w:type="dxa"/>
            </w:tcMar>
            <w:vAlign w:val="center"/>
          </w:tcPr>
          <w:p>
            <w:pPr>
              <w:pStyle w:val="Normal"/>
              <w:bidi w:val="0"/>
              <w:jc w:val="left"/>
              <w:rPr/>
            </w:pPr>
            <w:r>
              <w:rPr/>
            </w:r>
          </w:p>
        </w:tc>
        <w:tc>
          <w:tcPr>
            <w:tcW w:w="1082" w:type="dxa"/>
            <w:gridSpan w:val="4"/>
            <w:tcBorders/>
          </w:tcPr>
          <w:p>
            <w:pPr>
              <w:pStyle w:val="TableContents"/>
              <w:bidi w:val="0"/>
              <w:spacing w:before="0" w:after="283"/>
              <w:jc w:val="left"/>
              <w:rPr>
                <w:sz w:val="4"/>
                <w:szCs w:val="4"/>
              </w:rPr>
            </w:pPr>
            <w:r>
              <w:rPr>
                <w:sz w:val="4"/>
                <w:szCs w:val="4"/>
              </w:rPr>
            </w:r>
          </w:p>
        </w:tc>
      </w:tr>
      <w:tr>
        <w:trPr/>
        <w:tc>
          <w:tcPr>
            <w:tcW w:w="22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(in millions)</w:t>
            </w:r>
          </w:p>
        </w:tc>
        <w:tc>
          <w:tcPr>
            <w:tcW w:w="9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8"/>
              </w:rPr>
            </w:pPr>
            <w:r>
              <w:rPr>
                <w:rFonts w:ascii="Helvetica;sans-serif" w:hAnsi="Helvetica;sans-serif"/>
                <w:b/>
                <w:color w:val="000000"/>
                <w:sz w:val="18"/>
              </w:rPr>
              <w:t>2026</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8"/>
              </w:rPr>
            </w:pPr>
            <w:r>
              <w:rPr>
                <w:rFonts w:ascii="Helvetica;sans-serif" w:hAnsi="Helvetica;sans-serif"/>
                <w:b w:val="false"/>
                <w:color w:val="000000"/>
                <w:sz w:val="18"/>
              </w:rPr>
              <w:t>2025</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8"/>
              </w:rPr>
            </w:pPr>
            <w:r>
              <w:rPr>
                <w:rFonts w:ascii="Helvetica;sans-serif" w:hAnsi="Helvetica;sans-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8"/>
              </w:rPr>
            </w:pPr>
            <w:r>
              <w:rPr>
                <w:rFonts w:ascii="Helvetica;sans-serif" w:hAnsi="Helvetica;sans-serif"/>
                <w:b/>
                <w:color w:val="000000"/>
                <w:sz w:val="18"/>
              </w:rPr>
              <w:t>2026</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8"/>
              </w:rPr>
            </w:pPr>
            <w:r>
              <w:rPr>
                <w:rFonts w:ascii="Helvetica;sans-serif" w:hAnsi="Helvetica;sans-serif"/>
                <w:b w:val="false"/>
                <w:color w:val="000000"/>
                <w:sz w:val="18"/>
              </w:rPr>
              <w:t>2025</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8"/>
              </w:rPr>
            </w:pPr>
            <w:r>
              <w:rPr>
                <w:rFonts w:ascii="Helvetica;sans-serif" w:hAnsi="Helvetica;sans-serif"/>
                <w:b/>
                <w:color w:val="000000"/>
                <w:sz w:val="18"/>
              </w:rPr>
              <w:t>Change</w:t>
            </w:r>
          </w:p>
        </w:tc>
      </w:tr>
      <w:tr>
        <w:trPr/>
        <w:tc>
          <w:tcPr>
            <w:tcW w:w="22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Revenue</w:t>
            </w:r>
          </w:p>
        </w:tc>
        <w:tc>
          <w:tcPr>
            <w:tcW w:w="74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$1,783</w:t>
            </w:r>
            <w:r>
              <w:rPr>
                <w:color w:val="000000"/>
              </w:rPr>
              <w:t>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$1,556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14.6</w:t>
            </w:r>
          </w:p>
        </w:tc>
        <w:tc>
          <w:tcPr>
            <w:tcW w:w="429" w:type="dxa"/>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$7,399</w:t>
            </w:r>
            <w:r>
              <w:rPr>
                <w:color w:val="000000"/>
              </w:rPr>
              <w:t>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$4,418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67.5</w:t>
            </w:r>
          </w:p>
        </w:tc>
        <w:tc>
          <w:tcPr>
            <w:tcW w:w="507" w:type="dxa"/>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r>
      <w:tr>
        <w:trPr/>
        <w:tc>
          <w:tcPr>
            <w:tcW w:w="22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Milan Cortina Olympics</w:t>
            </w:r>
          </w:p>
        </w:tc>
        <w:tc>
          <w:tcPr>
            <w:tcW w:w="74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1,159</w:t>
            </w:r>
            <w:r>
              <w:rPr>
                <w:color w:val="000000"/>
              </w:rPr>
              <w:t>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3"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2026 Super Bowl</w:t>
            </w:r>
          </w:p>
        </w:tc>
        <w:tc>
          <w:tcPr>
            <w:tcW w:w="74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758</w:t>
            </w:r>
            <w:r>
              <w:rPr>
                <w:color w:val="000000"/>
              </w:rPr>
              <w:t>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2026 FIFA World Cup</w:t>
            </w:r>
          </w:p>
        </w:tc>
        <w:tc>
          <w:tcPr>
            <w:tcW w:w="74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224</w:t>
            </w:r>
            <w:r>
              <w:rPr>
                <w:color w:val="000000"/>
              </w:rPr>
              <w:t>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664</w:t>
            </w:r>
            <w:r>
              <w:rPr>
                <w:color w:val="000000"/>
              </w:rPr>
              <w:t>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3"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Revenue excluding Olympics, Super Bowl and FIFA World Cup</w:t>
            </w:r>
          </w:p>
        </w:tc>
        <w:tc>
          <w:tcPr>
            <w:tcW w:w="74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$1,560</w:t>
            </w:r>
            <w:r>
              <w:rPr>
                <w:color w:val="000000"/>
              </w:rPr>
              <w:t>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$1,556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0.3</w:t>
            </w:r>
          </w:p>
        </w:tc>
        <w:tc>
          <w:tcPr>
            <w:tcW w:w="429" w:type="dxa"/>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$4,819</w:t>
            </w:r>
            <w:r>
              <w:rPr>
                <w:color w:val="000000"/>
              </w:rPr>
              <w:t>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$4,418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9.1</w:t>
            </w:r>
          </w:p>
        </w:tc>
        <w:tc>
          <w:tcPr>
            <w:tcW w:w="507" w:type="dxa"/>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r>
      <w:tr>
        <w:trPr/>
        <w:tc>
          <w:tcPr>
            <w:tcW w:w="22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23" w:type="dxa"/>
            <w:gridSpan w:val="37"/>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828282"/>
                <w:sz w:val="21"/>
              </w:rPr>
            </w:pPr>
            <w:r>
              <w:rPr>
                <w:rFonts w:ascii="Helvetica;sans-serif" w:hAnsi="Helvetica;sans-serif"/>
                <w:b/>
                <w:color w:val="828282"/>
                <w:sz w:val="21"/>
              </w:rPr>
              <w:t>Reconciliation of Media Domestic Distribution Revenue Excluding Olympics (Unaudited)</w:t>
            </w:r>
          </w:p>
        </w:tc>
        <w:tc>
          <w:tcPr>
            <w:tcW w:w="1082" w:type="dxa"/>
            <w:gridSpan w:val="4"/>
            <w:tcBorders/>
          </w:tcPr>
          <w:p>
            <w:pPr>
              <w:pStyle w:val="TableContents"/>
              <w:bidi w:val="0"/>
              <w:spacing w:before="0" w:after="283"/>
              <w:jc w:val="left"/>
              <w:rPr>
                <w:sz w:val="4"/>
                <w:szCs w:val="4"/>
              </w:rPr>
            </w:pPr>
            <w:r>
              <w:rPr>
                <w:sz w:val="4"/>
                <w:szCs w:val="4"/>
              </w:rPr>
            </w:r>
          </w:p>
        </w:tc>
      </w:tr>
      <w:tr>
        <w:trPr/>
        <w:tc>
          <w:tcPr>
            <w:tcW w:w="2241" w:type="dxa"/>
            <w:gridSpan w:val="3"/>
            <w:tcBorders>
              <w:top w:val="single" w:sz="8" w:space="0" w:color="004EA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4EA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4EA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4EA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4EA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8" w:space="0" w:color="004EA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4EA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4EA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4EA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4EA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4EA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4EA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3" w:type="dxa"/>
            <w:gridSpan w:val="3"/>
            <w:tcBorders>
              <w:top w:val="single" w:sz="8" w:space="0" w:color="004EA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6" w:type="dxa"/>
            <w:gridSpan w:val="15"/>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8"/>
              </w:rPr>
            </w:pPr>
            <w:r>
              <w:rPr>
                <w:rFonts w:ascii="Helvetica;sans-serif" w:hAnsi="Helvetica;sans-serif"/>
                <w:b/>
                <w:color w:val="000000"/>
                <w:sz w:val="18"/>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852" w:type="dxa"/>
            <w:gridSpan w:val="1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8"/>
              </w:rPr>
            </w:pPr>
            <w:r>
              <w:rPr>
                <w:rFonts w:ascii="Helvetica;sans-serif" w:hAnsi="Helvetica;sans-serif"/>
                <w:b/>
                <w:color w:val="000000"/>
                <w:sz w:val="18"/>
              </w:rPr>
              <w:t>Nine Months Ended</w:t>
              <w:br/>
              <w:t>September 30,</w:t>
            </w:r>
          </w:p>
        </w:tc>
        <w:tc>
          <w:tcPr>
            <w:tcW w:w="1082" w:type="dxa"/>
            <w:gridSpan w:val="4"/>
            <w:tcBorders/>
          </w:tcPr>
          <w:p>
            <w:pPr>
              <w:pStyle w:val="TableContents"/>
              <w:bidi w:val="0"/>
              <w:spacing w:before="0" w:after="283"/>
              <w:jc w:val="left"/>
              <w:rPr>
                <w:sz w:val="4"/>
                <w:szCs w:val="4"/>
              </w:rPr>
            </w:pPr>
            <w:r>
              <w:rPr>
                <w:sz w:val="4"/>
                <w:szCs w:val="4"/>
              </w:rPr>
            </w:r>
          </w:p>
        </w:tc>
      </w:tr>
      <w:tr>
        <w:trPr/>
        <w:tc>
          <w:tcPr>
            <w:tcW w:w="22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6" w:type="dxa"/>
            <w:gridSpan w:val="15"/>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852" w:type="dxa"/>
            <w:gridSpan w:val="13"/>
            <w:vMerge w:val="continue"/>
            <w:tcBorders/>
            <w:tcMar>
              <w:top w:w="0" w:type="dxa"/>
              <w:left w:w="0" w:type="dxa"/>
              <w:bottom w:w="0" w:type="dxa"/>
              <w:right w:w="0" w:type="dxa"/>
            </w:tcMar>
            <w:vAlign w:val="center"/>
          </w:tcPr>
          <w:p>
            <w:pPr>
              <w:pStyle w:val="Normal"/>
              <w:bidi w:val="0"/>
              <w:jc w:val="left"/>
              <w:rPr/>
            </w:pPr>
            <w:r>
              <w:rPr/>
            </w:r>
          </w:p>
        </w:tc>
        <w:tc>
          <w:tcPr>
            <w:tcW w:w="1082" w:type="dxa"/>
            <w:gridSpan w:val="4"/>
            <w:tcBorders/>
          </w:tcPr>
          <w:p>
            <w:pPr>
              <w:pStyle w:val="TableContents"/>
              <w:bidi w:val="0"/>
              <w:spacing w:before="0" w:after="283"/>
              <w:jc w:val="left"/>
              <w:rPr>
                <w:sz w:val="4"/>
                <w:szCs w:val="4"/>
              </w:rPr>
            </w:pPr>
            <w:r>
              <w:rPr>
                <w:sz w:val="4"/>
                <w:szCs w:val="4"/>
              </w:rPr>
            </w:r>
          </w:p>
        </w:tc>
      </w:tr>
      <w:tr>
        <w:trPr/>
        <w:tc>
          <w:tcPr>
            <w:tcW w:w="22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(in millions)</w:t>
            </w:r>
          </w:p>
        </w:tc>
        <w:tc>
          <w:tcPr>
            <w:tcW w:w="9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8"/>
              </w:rPr>
            </w:pPr>
            <w:r>
              <w:rPr>
                <w:rFonts w:ascii="Helvetica;sans-serif" w:hAnsi="Helvetica;sans-serif"/>
                <w:b/>
                <w:color w:val="000000"/>
                <w:sz w:val="18"/>
              </w:rPr>
              <w:t>2026</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8"/>
              </w:rPr>
            </w:pPr>
            <w:r>
              <w:rPr>
                <w:rFonts w:ascii="Helvetica;sans-serif" w:hAnsi="Helvetica;sans-serif"/>
                <w:b w:val="false"/>
                <w:color w:val="000000"/>
                <w:sz w:val="18"/>
              </w:rPr>
              <w:t>2025</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8"/>
              </w:rPr>
            </w:pPr>
            <w:r>
              <w:rPr>
                <w:rFonts w:ascii="Helvetica;sans-serif" w:hAnsi="Helvetica;sans-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8"/>
              </w:rPr>
            </w:pPr>
            <w:r>
              <w:rPr>
                <w:rFonts w:ascii="Helvetica;sans-serif" w:hAnsi="Helvetica;sans-serif"/>
                <w:b/>
                <w:color w:val="000000"/>
                <w:sz w:val="18"/>
              </w:rPr>
              <w:t>2026</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8"/>
              </w:rPr>
            </w:pPr>
            <w:r>
              <w:rPr>
                <w:rFonts w:ascii="Helvetica;sans-serif" w:hAnsi="Helvetica;sans-serif"/>
                <w:b w:val="false"/>
                <w:color w:val="000000"/>
                <w:sz w:val="18"/>
              </w:rPr>
              <w:t>2025</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8"/>
              </w:rPr>
            </w:pPr>
            <w:r>
              <w:rPr>
                <w:rFonts w:ascii="Helvetica;sans-serif" w:hAnsi="Helvetica;sans-serif"/>
                <w:b/>
                <w:color w:val="000000"/>
                <w:sz w:val="18"/>
              </w:rPr>
              <w:t>Change</w:t>
            </w:r>
          </w:p>
        </w:tc>
      </w:tr>
      <w:tr>
        <w:trPr/>
        <w:tc>
          <w:tcPr>
            <w:tcW w:w="22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Revenue</w:t>
            </w:r>
          </w:p>
        </w:tc>
        <w:tc>
          <w:tcPr>
            <w:tcW w:w="74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$2,069</w:t>
            </w:r>
            <w:r>
              <w:rPr>
                <w:color w:val="000000"/>
              </w:rPr>
              <w:t>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$1,690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22.4</w:t>
            </w:r>
          </w:p>
        </w:tc>
        <w:tc>
          <w:tcPr>
            <w:tcW w:w="429" w:type="dxa"/>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$6,345</w:t>
            </w:r>
            <w:r>
              <w:rPr>
                <w:color w:val="000000"/>
              </w:rPr>
              <w:t>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$4,990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27.2</w:t>
            </w:r>
          </w:p>
        </w:tc>
        <w:tc>
          <w:tcPr>
            <w:tcW w:w="507" w:type="dxa"/>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r>
      <w:tr>
        <w:trPr/>
        <w:tc>
          <w:tcPr>
            <w:tcW w:w="22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Milan Cortina Olympics</w:t>
            </w:r>
          </w:p>
        </w:tc>
        <w:tc>
          <w:tcPr>
            <w:tcW w:w="74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262</w:t>
            </w:r>
            <w:r>
              <w:rPr>
                <w:color w:val="000000"/>
              </w:rPr>
              <w:t>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1"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r>
      <w:tr>
        <w:trPr/>
        <w:tc>
          <w:tcPr>
            <w:tcW w:w="2241"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r>
      <w:tr>
        <w:trPr/>
        <w:tc>
          <w:tcPr>
            <w:tcW w:w="22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Revenue excluding Olympics</w:t>
            </w:r>
          </w:p>
        </w:tc>
        <w:tc>
          <w:tcPr>
            <w:tcW w:w="74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$2,069</w:t>
            </w:r>
            <w:r>
              <w:rPr>
                <w:color w:val="000000"/>
              </w:rPr>
              <w:t>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$1,690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22.4</w:t>
            </w:r>
          </w:p>
        </w:tc>
        <w:tc>
          <w:tcPr>
            <w:tcW w:w="429" w:type="dxa"/>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$6,084</w:t>
            </w:r>
            <w:r>
              <w:rPr>
                <w:color w:val="000000"/>
              </w:rPr>
              <w:t>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$4,990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21.9</w:t>
            </w:r>
          </w:p>
        </w:tc>
        <w:tc>
          <w:tcPr>
            <w:tcW w:w="507" w:type="dxa"/>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r>
      <w:tr>
        <w:trPr/>
        <w:tc>
          <w:tcPr>
            <w:tcW w:w="22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16840"/>
                <wp:effectExtent l="0" t="0" r="0" b="0"/>
                <wp:wrapNone/>
                <wp:docPr id="29" name="Frame2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16"/>
                              </w:rPr>
                            </w:pPr>
                            <w:r>
                              <w:rPr>
                                <w:rFonts w:ascii="Helvetica;sans-serif" w:hAnsi="Helvetica;sans-serif"/>
                                <w:b w:val="false"/>
                                <w:color w:val="000000"/>
                                <w:sz w:val="16"/>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16"/>
                        </w:rPr>
                      </w:pPr>
                      <w:r>
                        <w:rPr>
                          <w:rFonts w:ascii="Helvetica;sans-serif" w:hAnsi="Helvetica;sans-serif"/>
                          <w:b w:val="false"/>
                          <w:color w:val="000000"/>
                          <w:sz w:val="16"/>
                        </w:rPr>
                        <w:t>18</w:t>
                      </w:r>
                    </w:p>
                  </w:txbxContent>
                </v:textbox>
                <w10:wrap type="none"/>
              </v:rect>
            </w:pict>
          </mc:Fallback>
        </mc:AlternateContent>
      </w:r>
    </w:p>
    <w:tbl>
      <w:tblPr>
        <w:tblW w:w="8589" w:type="dxa"/>
        <w:jc w:val="left"/>
        <w:tblInd w:w="0" w:type="dxa"/>
        <w:tblLayout w:type="fixed"/>
        <w:tblCellMar>
          <w:top w:w="28" w:type="dxa"/>
          <w:left w:w="28" w:type="dxa"/>
          <w:bottom w:w="28" w:type="dxa"/>
          <w:right w:w="28" w:type="dxa"/>
        </w:tblCellMar>
      </w:tblPr>
      <w:tblGrid>
        <w:gridCol w:w="358"/>
        <w:gridCol w:w="315"/>
        <w:gridCol w:w="315"/>
        <w:gridCol w:w="315"/>
        <w:gridCol w:w="315"/>
        <w:gridCol w:w="315"/>
        <w:gridCol w:w="315"/>
        <w:gridCol w:w="315"/>
        <w:gridCol w:w="315"/>
        <w:gridCol w:w="315"/>
        <w:gridCol w:w="315"/>
        <w:gridCol w:w="315"/>
        <w:gridCol w:w="315"/>
        <w:gridCol w:w="315"/>
        <w:gridCol w:w="315"/>
        <w:gridCol w:w="315"/>
        <w:gridCol w:w="315"/>
        <w:gridCol w:w="315"/>
        <w:gridCol w:w="315"/>
        <w:gridCol w:w="315"/>
        <w:gridCol w:w="315"/>
        <w:gridCol w:w="205"/>
        <w:gridCol w:w="205"/>
        <w:gridCol w:w="205"/>
        <w:gridCol w:w="205"/>
        <w:gridCol w:w="205"/>
        <w:gridCol w:w="205"/>
        <w:gridCol w:w="205"/>
        <w:gridCol w:w="205"/>
        <w:gridCol w:w="291"/>
      </w:tblGrid>
      <w:tr>
        <w:trPr/>
        <w:tc>
          <w:tcPr>
            <w:tcW w:w="35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9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1" w:type="dxa"/>
            <w:gridSpan w:val="9"/>
            <w:vMerge w:val="restart"/>
            <w:tcBorders>
              <w:bottom w:val="single" w:sz="8" w:space="0" w:color="004EA8"/>
            </w:tcBorders>
            <w:tcMar>
              <w:top w:w="0" w:type="dxa"/>
              <w:left w:w="0" w:type="dxa"/>
              <w:right w:w="0" w:type="dxa"/>
            </w:tcMar>
            <w:vAlign w:val="center"/>
          </w:tcPr>
          <w:p>
            <w:pPr>
              <w:pStyle w:val="TableContents"/>
              <w:bidi w:val="0"/>
              <w:spacing w:before="0" w:after="0"/>
              <w:jc w:val="right"/>
              <w:rPr/>
            </w:pPr>
            <w:r>
              <w:rPr/>
              <w:drawing>
                <wp:inline distT="0" distB="0" distL="0" distR="0">
                  <wp:extent cx="1143000" cy="457200"/>
                  <wp:effectExtent l="0" t="0" r="0" b="0"/>
                  <wp:docPr id="30"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9" descr=""/>
                          <pic:cNvPicPr>
                            <a:picLocks noChangeAspect="1" noChangeArrowheads="1"/>
                          </pic:cNvPicPr>
                        </pic:nvPicPr>
                        <pic:blipFill>
                          <a:blip r:embed="rId10"/>
                          <a:stretch>
                            <a:fillRect/>
                          </a:stretch>
                        </pic:blipFill>
                        <pic:spPr bwMode="auto">
                          <a:xfrm>
                            <a:off x="0" y="0"/>
                            <a:ext cx="1143000" cy="457200"/>
                          </a:xfrm>
                          <a:prstGeom prst="rect">
                            <a:avLst/>
                          </a:prstGeom>
                        </pic:spPr>
                      </pic:pic>
                    </a:graphicData>
                  </a:graphic>
                </wp:inline>
              </w:drawing>
            </w:r>
          </w:p>
        </w:tc>
      </w:tr>
      <w:tr>
        <w:trPr/>
        <w:tc>
          <w:tcPr>
            <w:tcW w:w="6658" w:type="dxa"/>
            <w:gridSpan w:val="21"/>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828282"/>
                <w:sz w:val="28"/>
              </w:rPr>
            </w:pPr>
            <w:r>
              <w:rPr>
                <w:rFonts w:ascii="Helvetica;sans-serif" w:hAnsi="Helvetica;sans-serif"/>
                <w:b/>
                <w:color w:val="828282"/>
                <w:sz w:val="28"/>
              </w:rPr>
              <w:t>TABLE 8</w:t>
            </w:r>
          </w:p>
        </w:tc>
        <w:tc>
          <w:tcPr>
            <w:tcW w:w="1931" w:type="dxa"/>
            <w:gridSpan w:val="9"/>
            <w:vMerge w:val="continue"/>
            <w:tcBorders>
              <w:bottom w:val="single" w:sz="8" w:space="0" w:color="004EA8"/>
            </w:tcBorders>
            <w:tcMar>
              <w:top w:w="0" w:type="dxa"/>
              <w:left w:w="0" w:type="dxa"/>
              <w:right w:w="0" w:type="dxa"/>
            </w:tcMar>
            <w:vAlign w:val="center"/>
          </w:tcPr>
          <w:p>
            <w:pPr>
              <w:pStyle w:val="Normal"/>
              <w:bidi w:val="0"/>
              <w:jc w:val="left"/>
              <w:rPr/>
            </w:pPr>
            <w:r>
              <w:rPr/>
            </w:r>
          </w:p>
        </w:tc>
      </w:tr>
      <w:tr>
        <w:trPr/>
        <w:tc>
          <w:tcPr>
            <w:tcW w:w="6658" w:type="dxa"/>
            <w:gridSpan w:val="21"/>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1" w:type="dxa"/>
            <w:gridSpan w:val="9"/>
            <w:vMerge w:val="continue"/>
            <w:tcBorders>
              <w:bottom w:val="single" w:sz="8" w:space="0" w:color="004EA8"/>
            </w:tcBorders>
            <w:tcMar>
              <w:top w:w="0" w:type="dxa"/>
              <w:left w:w="0" w:type="dxa"/>
              <w:right w:w="0" w:type="dxa"/>
            </w:tcMar>
            <w:vAlign w:val="center"/>
          </w:tcPr>
          <w:p>
            <w:pPr>
              <w:pStyle w:val="Normal"/>
              <w:bidi w:val="0"/>
              <w:jc w:val="left"/>
              <w:rPr/>
            </w:pPr>
            <w:r>
              <w:rPr/>
            </w:r>
          </w:p>
        </w:tc>
      </w:tr>
      <w:tr>
        <w:trPr/>
        <w:tc>
          <w:tcPr>
            <w:tcW w:w="6658" w:type="dxa"/>
            <w:gridSpan w:val="21"/>
            <w:tcBorders>
              <w:bottom w:val="single" w:sz="8" w:space="0" w:color="004EA8"/>
            </w:tcBorders>
            <w:tcMar>
              <w:top w:w="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828282"/>
                <w:sz w:val="21"/>
              </w:rPr>
            </w:pPr>
            <w:r>
              <w:rPr>
                <w:rFonts w:ascii="Helvetica;sans-serif" w:hAnsi="Helvetica;sans-serif"/>
                <w:b/>
                <w:color w:val="828282"/>
                <w:sz w:val="21"/>
              </w:rPr>
              <w:t>Reconciliation of Pro Forma Consolidated Revenue (Unaudited)</w:t>
            </w:r>
          </w:p>
        </w:tc>
        <w:tc>
          <w:tcPr>
            <w:tcW w:w="1931" w:type="dxa"/>
            <w:gridSpan w:val="9"/>
            <w:vMerge w:val="continue"/>
            <w:tcBorders>
              <w:bottom w:val="single" w:sz="8" w:space="0" w:color="004EA8"/>
            </w:tcBorders>
            <w:tcMar>
              <w:top w:w="0" w:type="dxa"/>
              <w:left w:w="0" w:type="dxa"/>
              <w:right w:w="0" w:type="dxa"/>
            </w:tcMar>
            <w:vAlign w:val="center"/>
          </w:tcPr>
          <w:p>
            <w:pPr>
              <w:pStyle w:val="Normal"/>
              <w:bidi w:val="0"/>
              <w:jc w:val="left"/>
              <w:rPr/>
            </w:pPr>
            <w:r>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957"/>
        <w:gridCol w:w="418"/>
        <w:gridCol w:w="422"/>
        <w:gridCol w:w="109"/>
        <w:gridCol w:w="109"/>
        <w:gridCol w:w="109"/>
        <w:gridCol w:w="420"/>
        <w:gridCol w:w="421"/>
        <w:gridCol w:w="176"/>
        <w:gridCol w:w="109"/>
        <w:gridCol w:w="109"/>
        <w:gridCol w:w="109"/>
        <w:gridCol w:w="413"/>
        <w:gridCol w:w="413"/>
        <w:gridCol w:w="176"/>
        <w:gridCol w:w="109"/>
        <w:gridCol w:w="109"/>
        <w:gridCol w:w="109"/>
        <w:gridCol w:w="210"/>
        <w:gridCol w:w="211"/>
        <w:gridCol w:w="426"/>
        <w:gridCol w:w="109"/>
        <w:gridCol w:w="109"/>
        <w:gridCol w:w="109"/>
        <w:gridCol w:w="109"/>
        <w:gridCol w:w="109"/>
        <w:gridCol w:w="109"/>
        <w:gridCol w:w="420"/>
        <w:gridCol w:w="421"/>
        <w:gridCol w:w="176"/>
        <w:gridCol w:w="109"/>
        <w:gridCol w:w="109"/>
        <w:gridCol w:w="109"/>
        <w:gridCol w:w="413"/>
        <w:gridCol w:w="413"/>
        <w:gridCol w:w="176"/>
        <w:gridCol w:w="109"/>
        <w:gridCol w:w="109"/>
        <w:gridCol w:w="109"/>
        <w:gridCol w:w="109"/>
        <w:gridCol w:w="109"/>
        <w:gridCol w:w="262"/>
        <w:gridCol w:w="264"/>
        <w:gridCol w:w="490"/>
      </w:tblGrid>
      <w:tr>
        <w:trPr/>
        <w:tc>
          <w:tcPr>
            <w:tcW w:w="957"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r>
      <w:tr>
        <w:trPr/>
        <w:tc>
          <w:tcPr>
            <w:tcW w:w="1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34" w:type="dxa"/>
            <w:gridSpan w:val="20"/>
            <w:tcBorders/>
          </w:tcPr>
          <w:p>
            <w:pPr>
              <w:pStyle w:val="TableContents"/>
              <w:bidi w:val="0"/>
              <w:spacing w:before="0" w:after="283"/>
              <w:jc w:val="left"/>
              <w:rPr>
                <w:sz w:val="4"/>
                <w:szCs w:val="4"/>
              </w:rPr>
            </w:pPr>
            <w:r>
              <w:rPr>
                <w:sz w:val="4"/>
                <w:szCs w:val="4"/>
              </w:rPr>
            </w:r>
          </w:p>
        </w:tc>
      </w:tr>
      <w:tr>
        <w:trPr/>
        <w:tc>
          <w:tcPr>
            <w:tcW w:w="1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08" w:type="dxa"/>
            <w:gridSpan w:val="26"/>
            <w:tcBorders/>
          </w:tcPr>
          <w:p>
            <w:pPr>
              <w:pStyle w:val="TableContents"/>
              <w:bidi w:val="0"/>
              <w:spacing w:before="0" w:after="283"/>
              <w:jc w:val="left"/>
              <w:rPr>
                <w:sz w:val="4"/>
                <w:szCs w:val="4"/>
              </w:rPr>
            </w:pPr>
            <w:r>
              <w:rPr>
                <w:sz w:val="4"/>
                <w:szCs w:val="4"/>
              </w:rPr>
            </w:r>
          </w:p>
        </w:tc>
      </w:tr>
      <w:tr>
        <w:trPr/>
        <w:tc>
          <w:tcPr>
            <w:tcW w:w="1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r>
      <w:tr>
        <w:trPr/>
        <w:tc>
          <w:tcPr>
            <w:tcW w:w="1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r>
      <w:tr>
        <w:trPr/>
        <w:tc>
          <w:tcPr>
            <w:tcW w:w="1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r>
      <w:tr>
        <w:trPr/>
        <w:tc>
          <w:tcPr>
            <w:tcW w:w="1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r>
      <w:tr>
        <w:trPr/>
        <w:tc>
          <w:tcPr>
            <w:tcW w:w="1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r>
      <w:tr>
        <w:trPr/>
        <w:tc>
          <w:tcPr>
            <w:tcW w:w="1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r>
      <w:tr>
        <w:trPr/>
        <w:tc>
          <w:tcPr>
            <w:tcW w:w="1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r>
      <w:tr>
        <w:trPr/>
        <w:tc>
          <w:tcPr>
            <w:tcW w:w="1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r>
      <w:tr>
        <w:trPr/>
        <w:tc>
          <w:tcPr>
            <w:tcW w:w="1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r>
      <w:tr>
        <w:trPr/>
        <w:tc>
          <w:tcPr>
            <w:tcW w:w="1797" w:type="dxa"/>
            <w:gridSpan w:val="3"/>
            <w:tcBorders/>
            <w:vAlign w:val="center"/>
          </w:tcPr>
          <w:p>
            <w:pPr>
              <w:pStyle w:val="TableContents"/>
              <w:bidi w:val="0"/>
              <w:spacing w:before="0" w:after="283"/>
              <w:jc w:val="left"/>
              <w:rPr>
                <w:sz w:val="4"/>
                <w:szCs w:val="4"/>
              </w:rPr>
            </w:pPr>
            <w:r>
              <w:rPr>
                <w:sz w:val="4"/>
                <w:szCs w:val="4"/>
              </w:rPr>
            </w:r>
          </w:p>
        </w:tc>
        <w:tc>
          <w:tcPr>
            <w:tcW w:w="8408" w:type="dxa"/>
            <w:gridSpan w:val="41"/>
            <w:tcBorders/>
          </w:tcPr>
          <w:p>
            <w:pPr>
              <w:pStyle w:val="TableContents"/>
              <w:bidi w:val="0"/>
              <w:spacing w:before="0" w:after="283"/>
              <w:jc w:val="left"/>
              <w:rPr>
                <w:sz w:val="4"/>
                <w:szCs w:val="4"/>
              </w:rPr>
            </w:pPr>
            <w:r>
              <w:rPr>
                <w:sz w:val="4"/>
                <w:szCs w:val="4"/>
              </w:rPr>
            </w:r>
          </w:p>
        </w:tc>
      </w:tr>
      <w:tr>
        <w:trPr/>
        <w:tc>
          <w:tcPr>
            <w:tcW w:w="1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r>
      <w:tr>
        <w:trPr/>
        <w:tc>
          <w:tcPr>
            <w:tcW w:w="1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34" w:type="dxa"/>
            <w:gridSpan w:val="20"/>
            <w:tcBorders/>
          </w:tcPr>
          <w:p>
            <w:pPr>
              <w:pStyle w:val="TableContents"/>
              <w:bidi w:val="0"/>
              <w:spacing w:before="0" w:after="283"/>
              <w:jc w:val="left"/>
              <w:rPr>
                <w:sz w:val="4"/>
                <w:szCs w:val="4"/>
              </w:rPr>
            </w:pPr>
            <w:r>
              <w:rPr>
                <w:sz w:val="4"/>
                <w:szCs w:val="4"/>
              </w:rPr>
            </w:r>
          </w:p>
        </w:tc>
      </w:tr>
      <w:tr>
        <w:trPr/>
        <w:tc>
          <w:tcPr>
            <w:tcW w:w="1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08" w:type="dxa"/>
            <w:gridSpan w:val="26"/>
            <w:tcBorders/>
          </w:tcPr>
          <w:p>
            <w:pPr>
              <w:pStyle w:val="TableContents"/>
              <w:bidi w:val="0"/>
              <w:spacing w:before="0" w:after="283"/>
              <w:jc w:val="left"/>
              <w:rPr>
                <w:sz w:val="4"/>
                <w:szCs w:val="4"/>
              </w:rPr>
            </w:pPr>
            <w:r>
              <w:rPr>
                <w:sz w:val="4"/>
                <w:szCs w:val="4"/>
              </w:rPr>
            </w:r>
          </w:p>
        </w:tc>
      </w:tr>
      <w:tr>
        <w:trPr/>
        <w:tc>
          <w:tcPr>
            <w:tcW w:w="1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r>
      <w:tr>
        <w:trPr/>
        <w:tc>
          <w:tcPr>
            <w:tcW w:w="1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r>
      <w:tr>
        <w:trPr/>
        <w:tc>
          <w:tcPr>
            <w:tcW w:w="1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r>
      <w:tr>
        <w:trPr/>
        <w:tc>
          <w:tcPr>
            <w:tcW w:w="1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r>
      <w:tr>
        <w:trPr/>
        <w:tc>
          <w:tcPr>
            <w:tcW w:w="1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r>
      <w:tr>
        <w:trPr/>
        <w:tc>
          <w:tcPr>
            <w:tcW w:w="1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r>
      <w:tr>
        <w:trPr/>
        <w:tc>
          <w:tcPr>
            <w:tcW w:w="1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r>
      <w:tr>
        <w:trPr/>
        <w:tc>
          <w:tcPr>
            <w:tcW w:w="1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r>
      <w:tr>
        <w:trPr/>
        <w:tc>
          <w:tcPr>
            <w:tcW w:w="1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r>
      <w:tr>
        <w:trPr/>
        <w:tc>
          <w:tcPr>
            <w:tcW w:w="1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r>
      <w:tr>
        <w:trPr/>
        <w:tc>
          <w:tcPr>
            <w:tcW w:w="1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r>
      <w:tr>
        <w:trPr/>
        <w:tc>
          <w:tcPr>
            <w:tcW w:w="1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r>
      <w:tr>
        <w:trPr/>
        <w:tc>
          <w:tcPr>
            <w:tcW w:w="1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r>
      <w:tr>
        <w:trPr/>
        <w:tc>
          <w:tcPr>
            <w:tcW w:w="1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r>
      <w:tr>
        <w:trPr/>
        <w:tc>
          <w:tcPr>
            <w:tcW w:w="1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r>
      <w:tr>
        <w:trPr/>
        <w:tc>
          <w:tcPr>
            <w:tcW w:w="1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r>
      <w:tr>
        <w:trPr/>
        <w:tc>
          <w:tcPr>
            <w:tcW w:w="1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r>
      <w:tr>
        <w:trPr/>
        <w:tc>
          <w:tcPr>
            <w:tcW w:w="1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r>
      <w:tr>
        <w:trPr/>
        <w:tc>
          <w:tcPr>
            <w:tcW w:w="1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r>
      <w:tr>
        <w:trPr/>
        <w:tc>
          <w:tcPr>
            <w:tcW w:w="1797" w:type="dxa"/>
            <w:gridSpan w:val="3"/>
            <w:tcBorders/>
            <w:vAlign w:val="center"/>
          </w:tcPr>
          <w:p>
            <w:pPr>
              <w:pStyle w:val="TableContents"/>
              <w:bidi w:val="0"/>
              <w:spacing w:before="0" w:after="283"/>
              <w:jc w:val="left"/>
              <w:rPr>
                <w:sz w:val="4"/>
                <w:szCs w:val="4"/>
              </w:rPr>
            </w:pPr>
            <w:r>
              <w:rPr>
                <w:sz w:val="4"/>
                <w:szCs w:val="4"/>
              </w:rPr>
            </w:r>
          </w:p>
        </w:tc>
        <w:tc>
          <w:tcPr>
            <w:tcW w:w="8408" w:type="dxa"/>
            <w:gridSpan w:val="41"/>
            <w:tcBorders/>
          </w:tcPr>
          <w:p>
            <w:pPr>
              <w:pStyle w:val="TableContents"/>
              <w:bidi w:val="0"/>
              <w:spacing w:before="0" w:after="283"/>
              <w:jc w:val="left"/>
              <w:rPr>
                <w:sz w:val="4"/>
                <w:szCs w:val="4"/>
              </w:rPr>
            </w:pPr>
            <w:r>
              <w:rPr>
                <w:sz w:val="4"/>
                <w:szCs w:val="4"/>
              </w:rPr>
            </w:r>
          </w:p>
        </w:tc>
      </w:tr>
      <w:tr>
        <w:trPr/>
        <w:tc>
          <w:tcPr>
            <w:tcW w:w="1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r>
      <w:tr>
        <w:trPr/>
        <w:tc>
          <w:tcPr>
            <w:tcW w:w="1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7" w:type="dxa"/>
            <w:gridSpan w:val="18"/>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8"/>
              </w:rPr>
            </w:pPr>
            <w:r>
              <w:rPr>
                <w:rFonts w:ascii="Helvetica;sans-serif" w:hAnsi="Helvetica;sans-serif"/>
                <w:b/>
                <w:color w:val="000000"/>
                <w:sz w:val="18"/>
              </w:rPr>
              <w:t xml:space="preserve">Three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782" w:type="dxa"/>
            <w:gridSpan w:val="1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8"/>
              </w:rPr>
            </w:pPr>
            <w:r>
              <w:rPr>
                <w:rFonts w:ascii="Helvetica;sans-serif" w:hAnsi="Helvetica;sans-serif"/>
                <w:b/>
                <w:color w:val="000000"/>
                <w:sz w:val="18"/>
              </w:rPr>
              <w:t>Nine Months Ended</w:t>
              <w:br/>
              <w:t>September 30,</w:t>
            </w:r>
          </w:p>
        </w:tc>
        <w:tc>
          <w:tcPr>
            <w:tcW w:w="1125" w:type="dxa"/>
            <w:gridSpan w:val="4"/>
            <w:tcBorders/>
          </w:tcPr>
          <w:p>
            <w:pPr>
              <w:pStyle w:val="TableContents"/>
              <w:bidi w:val="0"/>
              <w:spacing w:before="0" w:after="283"/>
              <w:jc w:val="left"/>
              <w:rPr>
                <w:sz w:val="4"/>
                <w:szCs w:val="4"/>
              </w:rPr>
            </w:pPr>
            <w:r>
              <w:rPr>
                <w:sz w:val="4"/>
                <w:szCs w:val="4"/>
              </w:rPr>
            </w:r>
          </w:p>
        </w:tc>
      </w:tr>
      <w:tr>
        <w:trPr/>
        <w:tc>
          <w:tcPr>
            <w:tcW w:w="1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7" w:type="dxa"/>
            <w:gridSpan w:val="18"/>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782" w:type="dxa"/>
            <w:gridSpan w:val="13"/>
            <w:vMerge w:val="continue"/>
            <w:tcBorders/>
            <w:tcMar>
              <w:top w:w="0" w:type="dxa"/>
              <w:left w:w="0" w:type="dxa"/>
              <w:bottom w:w="0" w:type="dxa"/>
              <w:right w:w="0" w:type="dxa"/>
            </w:tcMar>
            <w:vAlign w:val="center"/>
          </w:tcPr>
          <w:p>
            <w:pPr>
              <w:pStyle w:val="Normal"/>
              <w:bidi w:val="0"/>
              <w:jc w:val="left"/>
              <w:rPr/>
            </w:pPr>
            <w:r>
              <w:rPr/>
            </w:r>
          </w:p>
        </w:tc>
        <w:tc>
          <w:tcPr>
            <w:tcW w:w="1125" w:type="dxa"/>
            <w:gridSpan w:val="4"/>
            <w:tcBorders/>
          </w:tcPr>
          <w:p>
            <w:pPr>
              <w:pStyle w:val="TableContents"/>
              <w:bidi w:val="0"/>
              <w:spacing w:before="0" w:after="283"/>
              <w:jc w:val="left"/>
              <w:rPr>
                <w:sz w:val="4"/>
                <w:szCs w:val="4"/>
              </w:rPr>
            </w:pPr>
            <w:r>
              <w:rPr>
                <w:sz w:val="4"/>
                <w:szCs w:val="4"/>
              </w:rPr>
            </w:r>
          </w:p>
        </w:tc>
      </w:tr>
      <w:tr>
        <w:trPr/>
        <w:tc>
          <w:tcPr>
            <w:tcW w:w="17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8"/>
              </w:rPr>
            </w:pPr>
            <w:r>
              <w:rPr>
                <w:rFonts w:ascii="Helvetica;sans-serif" w:hAnsi="Helvetica;sans-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8"/>
              </w:rPr>
            </w:pPr>
            <w:r>
              <w:rPr>
                <w:rFonts w:ascii="Helvetica;sans-serif" w:hAnsi="Helvetica;sans-serif"/>
                <w:b w:val="false"/>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8"/>
              </w:rPr>
            </w:pPr>
            <w:r>
              <w:rPr>
                <w:rFonts w:ascii="Helvetica;sans-serif" w:hAnsi="Helvetica;sans-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8"/>
              </w:rPr>
            </w:pPr>
            <w:r>
              <w:rPr>
                <w:rFonts w:ascii="Helvetica;sans-serif" w:hAnsi="Helvetica;sans-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8"/>
              </w:rPr>
            </w:pPr>
            <w:r>
              <w:rPr>
                <w:rFonts w:ascii="Helvetica;sans-serif" w:hAnsi="Helvetica;sans-serif"/>
                <w:b w:val="false"/>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8"/>
              </w:rPr>
            </w:pPr>
            <w:r>
              <w:rPr>
                <w:rFonts w:ascii="Helvetica;sans-serif" w:hAnsi="Helvetica;sans-serif"/>
                <w:b/>
                <w:color w:val="000000"/>
                <w:sz w:val="18"/>
              </w:rPr>
              <w:t>Change</w:t>
            </w:r>
          </w:p>
        </w:tc>
      </w:tr>
      <w:tr>
        <w:trPr/>
        <w:tc>
          <w:tcPr>
            <w:tcW w:w="1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Consolidated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$29,298</w:t>
            </w:r>
            <w:r>
              <w:rPr>
                <w:color w:val="000000"/>
              </w:rPr>
              <w:t>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$31,198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(6.1)</w:t>
            </w:r>
          </w:p>
        </w:tc>
        <w:tc>
          <w:tcPr>
            <w:tcW w:w="426" w:type="dxa"/>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$90,695</w:t>
            </w:r>
            <w:r>
              <w:rPr>
                <w:color w:val="000000"/>
              </w:rPr>
              <w:t>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$91,397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(0.8)</w:t>
            </w:r>
          </w:p>
        </w:tc>
        <w:tc>
          <w:tcPr>
            <w:tcW w:w="490" w:type="dxa"/>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w:t>
            </w:r>
          </w:p>
        </w:tc>
      </w:tr>
      <w:tr>
        <w:trPr/>
        <w:tc>
          <w:tcPr>
            <w:tcW w:w="1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Less: Versant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1,731 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5,270 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Less: Sky operations in Germany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568 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966</w:t>
            </w:r>
            <w:r>
              <w:rPr>
                <w:color w:val="000000"/>
              </w:rPr>
              <w:t>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1,639 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Less: Eliminations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(252)</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8"/>
              </w:rPr>
            </w:pPr>
            <w:r>
              <w:rPr>
                <w:rFonts w:ascii="Helvetica;sans-serif" w:hAnsi="Helvetica;sans-serif"/>
                <w:b/>
                <w:color w:val="000000"/>
                <w:sz w:val="18"/>
              </w:rPr>
              <w:t>(29)</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(776)</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6"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Pro Forma Consolidated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$29,298</w:t>
            </w:r>
            <w:r>
              <w:rPr>
                <w:color w:val="000000"/>
              </w:rPr>
              <w:t>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$29,151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0.5 </w:t>
            </w:r>
          </w:p>
        </w:tc>
        <w:tc>
          <w:tcPr>
            <w:tcW w:w="426" w:type="dxa"/>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$89,758</w:t>
            </w:r>
            <w:r>
              <w:rPr>
                <w:color w:val="000000"/>
              </w:rPr>
              <w:t>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$85,265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5.3 </w:t>
            </w:r>
          </w:p>
        </w:tc>
        <w:tc>
          <w:tcPr>
            <w:tcW w:w="490" w:type="dxa"/>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w:t>
            </w:r>
          </w:p>
        </w:tc>
      </w:tr>
      <w:tr>
        <w:trPr/>
        <w:tc>
          <w:tcPr>
            <w:tcW w:w="1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r>
      <w:tr>
        <w:trPr/>
        <w:tc>
          <w:tcPr>
            <w:tcW w:w="9080" w:type="dxa"/>
            <w:gridSpan w:val="40"/>
            <w:tcBorders/>
            <w:tcMar>
              <w:top w:w="0" w:type="dxa"/>
              <w:left w:w="0" w:type="dxa"/>
              <w:bottom w:w="0" w:type="dxa"/>
              <w:right w:w="0" w:type="dxa"/>
            </w:tcMar>
            <w:vAlign w:val="center"/>
          </w:tcPr>
          <w:p>
            <w:pPr>
              <w:pStyle w:val="TableContents"/>
              <w:bidi w:val="0"/>
              <w:spacing w:lineRule="auto" w:line="240" w:before="0" w:after="283"/>
              <w:jc w:val="left"/>
              <w:rPr/>
            </w:pPr>
            <w:r>
              <w:rPr>
                <w:rFonts w:ascii="Helvetica;sans-serif" w:hAnsi="Helvetica;sans-serif"/>
                <w:b/>
                <w:sz w:val="21"/>
              </w:rPr>
              <w:br/>
            </w:r>
            <w:r>
              <w:rPr>
                <w:rFonts w:ascii="Helvetica;sans-serif" w:hAnsi="Helvetica;sans-serif"/>
                <w:b/>
                <w:color w:val="828282"/>
                <w:sz w:val="21"/>
              </w:rPr>
              <w:t>Reconciliation of Pro Forma Consolidated Adjusted EBITDA (Unaudited)</w:t>
            </w:r>
          </w:p>
        </w:tc>
        <w:tc>
          <w:tcPr>
            <w:tcW w:w="1125" w:type="dxa"/>
            <w:gridSpan w:val="4"/>
            <w:tcBorders/>
          </w:tcPr>
          <w:p>
            <w:pPr>
              <w:pStyle w:val="TableContents"/>
              <w:bidi w:val="0"/>
              <w:spacing w:before="0" w:after="283"/>
              <w:jc w:val="left"/>
              <w:rPr>
                <w:sz w:val="4"/>
                <w:szCs w:val="4"/>
              </w:rPr>
            </w:pPr>
            <w:r>
              <w:rPr>
                <w:sz w:val="4"/>
                <w:szCs w:val="4"/>
              </w:rPr>
            </w:r>
          </w:p>
        </w:tc>
      </w:tr>
      <w:tr>
        <w:trPr/>
        <w:tc>
          <w:tcPr>
            <w:tcW w:w="1797" w:type="dxa"/>
            <w:gridSpan w:val="3"/>
            <w:tcBorders>
              <w:top w:val="single" w:sz="8" w:space="0" w:color="004EA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4EA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4EA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4EA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4EA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4EA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4EA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4EA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4EA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4EA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4EA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4EA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4EA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6" w:type="dxa"/>
            <w:gridSpan w:val="3"/>
            <w:tcBorders>
              <w:top w:val="single" w:sz="8" w:space="0" w:color="004EA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7" w:type="dxa"/>
            <w:gridSpan w:val="18"/>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8"/>
              </w:rPr>
            </w:pPr>
            <w:r>
              <w:rPr>
                <w:rFonts w:ascii="Helvetica;sans-serif" w:hAnsi="Helvetica;sans-serif"/>
                <w:b/>
                <w:color w:val="000000"/>
                <w:sz w:val="18"/>
              </w:rPr>
              <w:t xml:space="preserve">Three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782" w:type="dxa"/>
            <w:gridSpan w:val="1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8"/>
              </w:rPr>
            </w:pPr>
            <w:r>
              <w:rPr>
                <w:rFonts w:ascii="Helvetica;sans-serif" w:hAnsi="Helvetica;sans-serif"/>
                <w:b/>
                <w:color w:val="000000"/>
                <w:sz w:val="18"/>
              </w:rPr>
              <w:t>Nine Months Ended</w:t>
              <w:br/>
              <w:t>September 30,</w:t>
            </w:r>
          </w:p>
        </w:tc>
        <w:tc>
          <w:tcPr>
            <w:tcW w:w="1125" w:type="dxa"/>
            <w:gridSpan w:val="4"/>
            <w:tcBorders/>
          </w:tcPr>
          <w:p>
            <w:pPr>
              <w:pStyle w:val="TableContents"/>
              <w:bidi w:val="0"/>
              <w:spacing w:before="0" w:after="283"/>
              <w:jc w:val="left"/>
              <w:rPr>
                <w:sz w:val="4"/>
                <w:szCs w:val="4"/>
              </w:rPr>
            </w:pPr>
            <w:r>
              <w:rPr>
                <w:sz w:val="4"/>
                <w:szCs w:val="4"/>
              </w:rPr>
            </w:r>
          </w:p>
        </w:tc>
      </w:tr>
      <w:tr>
        <w:trPr/>
        <w:tc>
          <w:tcPr>
            <w:tcW w:w="1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7" w:type="dxa"/>
            <w:gridSpan w:val="18"/>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782" w:type="dxa"/>
            <w:gridSpan w:val="13"/>
            <w:vMerge w:val="continue"/>
            <w:tcBorders/>
            <w:tcMar>
              <w:top w:w="0" w:type="dxa"/>
              <w:left w:w="0" w:type="dxa"/>
              <w:bottom w:w="0" w:type="dxa"/>
              <w:right w:w="0" w:type="dxa"/>
            </w:tcMar>
            <w:vAlign w:val="center"/>
          </w:tcPr>
          <w:p>
            <w:pPr>
              <w:pStyle w:val="Normal"/>
              <w:bidi w:val="0"/>
              <w:jc w:val="left"/>
              <w:rPr/>
            </w:pPr>
            <w:r>
              <w:rPr/>
            </w:r>
          </w:p>
        </w:tc>
        <w:tc>
          <w:tcPr>
            <w:tcW w:w="1125" w:type="dxa"/>
            <w:gridSpan w:val="4"/>
            <w:tcBorders/>
          </w:tcPr>
          <w:p>
            <w:pPr>
              <w:pStyle w:val="TableContents"/>
              <w:bidi w:val="0"/>
              <w:spacing w:before="0" w:after="283"/>
              <w:jc w:val="left"/>
              <w:rPr>
                <w:sz w:val="4"/>
                <w:szCs w:val="4"/>
              </w:rPr>
            </w:pPr>
            <w:r>
              <w:rPr>
                <w:sz w:val="4"/>
                <w:szCs w:val="4"/>
              </w:rPr>
            </w:r>
          </w:p>
        </w:tc>
      </w:tr>
      <w:tr>
        <w:trPr/>
        <w:tc>
          <w:tcPr>
            <w:tcW w:w="17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8"/>
              </w:rPr>
            </w:pPr>
            <w:r>
              <w:rPr>
                <w:rFonts w:ascii="Helvetica;sans-serif" w:hAnsi="Helvetica;sans-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8"/>
              </w:rPr>
            </w:pPr>
            <w:r>
              <w:rPr>
                <w:rFonts w:ascii="Helvetica;sans-serif" w:hAnsi="Helvetica;sans-serif"/>
                <w:b w:val="false"/>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8"/>
              </w:rPr>
            </w:pPr>
            <w:r>
              <w:rPr>
                <w:rFonts w:ascii="Helvetica;sans-serif" w:hAnsi="Helvetica;sans-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8"/>
              </w:rPr>
            </w:pPr>
            <w:r>
              <w:rPr>
                <w:rFonts w:ascii="Helvetica;sans-serif" w:hAnsi="Helvetica;sans-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8"/>
              </w:rPr>
            </w:pPr>
            <w:r>
              <w:rPr>
                <w:rFonts w:ascii="Helvetica;sans-serif" w:hAnsi="Helvetica;sans-serif"/>
                <w:b w:val="false"/>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8"/>
              </w:rPr>
            </w:pPr>
            <w:r>
              <w:rPr>
                <w:rFonts w:ascii="Helvetica;sans-serif" w:hAnsi="Helvetica;sans-serif"/>
                <w:b/>
                <w:color w:val="000000"/>
                <w:sz w:val="18"/>
              </w:rPr>
              <w:t>Change</w:t>
            </w:r>
          </w:p>
        </w:tc>
      </w:tr>
      <w:tr>
        <w:trPr/>
        <w:tc>
          <w:tcPr>
            <w:tcW w:w="1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8"/>
              </w:rPr>
            </w:pPr>
            <w:r>
              <w:rPr>
                <w:rFonts w:ascii="Helvetica;sans-serif" w:hAnsi="Helvetica;sans-serif"/>
                <w:b/>
                <w:color w:val="000000"/>
                <w:sz w:val="18"/>
              </w:rPr>
              <w:t>Net income attributable to Comcast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$3,448</w:t>
            </w:r>
            <w:r>
              <w:rPr>
                <w:color w:val="000000"/>
              </w:rPr>
              <w:t>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$3,332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$9,148</w:t>
            </w:r>
            <w:r>
              <w:rPr>
                <w:color w:val="000000"/>
              </w:rPr>
              <w:t>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$17,830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Net income (loss) attributable to 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8"/>
              </w:rPr>
            </w:pPr>
            <w:r>
              <w:rPr>
                <w:rFonts w:ascii="Helvetica;sans-serif" w:hAnsi="Helvetica;sans-serif"/>
                <w:b/>
                <w:color w:val="000000"/>
                <w:sz w:val="18"/>
              </w:rPr>
              <w:t>(87)</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(83)</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8"/>
              </w:rPr>
            </w:pPr>
            <w:r>
              <w:rPr>
                <w:rFonts w:ascii="Helvetica;sans-serif" w:hAnsi="Helvetica;sans-serif"/>
                <w:b/>
                <w:color w:val="000000"/>
                <w:sz w:val="18"/>
              </w:rPr>
              <w:t>(341)</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(241)</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Income tax expense (benefit)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1,084</w:t>
            </w:r>
            <w:r>
              <w:rPr>
                <w:color w:val="000000"/>
              </w:rPr>
              <w:t>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1,218 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2,983</w:t>
            </w:r>
            <w:r>
              <w:rPr>
                <w:color w:val="000000"/>
              </w:rPr>
              <w:t>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6,017 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Interest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962</w:t>
            </w:r>
            <w:r>
              <w:rPr>
                <w:color w:val="000000"/>
              </w:rPr>
              <w:t>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1,128 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3,108</w:t>
            </w:r>
            <w:r>
              <w:rPr>
                <w:color w:val="000000"/>
              </w:rPr>
              <w:t>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3,283 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Investment and other (income) loss,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8"/>
              </w:rPr>
            </w:pPr>
            <w:r>
              <w:rPr>
                <w:rFonts w:ascii="Helvetica;sans-serif" w:hAnsi="Helvetica;sans-serif"/>
                <w:b/>
                <w:color w:val="000000"/>
                <w:sz w:val="18"/>
              </w:rPr>
              <w:t>(88)</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(61)</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8"/>
              </w:rPr>
            </w:pPr>
            <w:r>
              <w:rPr>
                <w:rFonts w:ascii="Helvetica;sans-serif" w:hAnsi="Helvetica;sans-serif"/>
                <w:b/>
                <w:color w:val="000000"/>
                <w:sz w:val="18"/>
              </w:rPr>
              <w:t>(283)</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(9,705)</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Depreciation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2,385</w:t>
            </w:r>
            <w:r>
              <w:rPr>
                <w:color w:val="000000"/>
              </w:rPr>
              <w:t>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2,353 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7,108</w:t>
            </w:r>
            <w:r>
              <w:rPr>
                <w:color w:val="000000"/>
              </w:rPr>
              <w:t>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6,934 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1,314</w:t>
            </w:r>
            <w:r>
              <w:rPr>
                <w:color w:val="000000"/>
              </w:rPr>
              <w:t>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1,666 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4,144</w:t>
            </w:r>
            <w:r>
              <w:rPr>
                <w:color w:val="000000"/>
              </w:rPr>
              <w:t>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5,089 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18"/>
              </w:rPr>
              <w:t>Transaction costs</w:t>
            </w:r>
            <w:r>
              <w:rPr>
                <w:rFonts w:ascii="Helvetica;sans-serif" w:hAnsi="Helvetica;sans-serif"/>
                <w:b w:val="false"/>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22</w:t>
            </w:r>
            <w:r>
              <w:rPr>
                <w:color w:val="000000"/>
              </w:rPr>
              <w:t>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26 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73</w:t>
            </w:r>
            <w:r>
              <w:rPr>
                <w:color w:val="000000"/>
              </w:rPr>
              <w:t>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82 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18"/>
              </w:rPr>
              <w:t>Transaction-related costs</w:t>
            </w:r>
            <w:r>
              <w:rPr>
                <w:rFonts w:ascii="Helvetica;sans-serif" w:hAnsi="Helvetica;sans-serif"/>
                <w:b w:val="false"/>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4</w:t>
            </w:r>
            <w:r>
              <w:rPr>
                <w:color w:val="000000"/>
              </w:rPr>
              <w:t>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90 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4</w:t>
            </w:r>
            <w:r>
              <w:rPr>
                <w:color w:val="000000"/>
              </w:rPr>
              <w:t>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166 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18"/>
              </w:rPr>
              <w:t xml:space="preserve">Other adjustments </w:t>
            </w:r>
            <w:r>
              <w:rPr>
                <w:rFonts w:ascii="Helvetica;sans-serif" w:hAnsi="Helvetica;sans-serif"/>
                <w:b w:val="false"/>
                <w:color w:val="000000"/>
                <w:sz w:val="12"/>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61</w:t>
            </w:r>
            <w:r>
              <w:rPr>
                <w:color w:val="000000"/>
              </w:rPr>
              <w:t>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8"/>
              </w:rPr>
            </w:pPr>
            <w:r>
              <w:rPr>
                <w:rFonts w:ascii="Helvetica;sans-serif" w:hAnsi="Helvetica;sans-serif"/>
                <w:b/>
                <w:color w:val="000000"/>
                <w:sz w:val="18"/>
              </w:rPr>
              <w:t>(7)</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29 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8"/>
              </w:rPr>
            </w:pPr>
            <w:r>
              <w:rPr>
                <w:rFonts w:ascii="Helvetica;sans-serif" w:hAnsi="Helvetica;sans-serif"/>
                <w:b/>
                <w:color w:val="000000"/>
                <w:sz w:val="18"/>
              </w:rPr>
              <w:t>Adjusted EBITDA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$9,106</w:t>
            </w:r>
            <w:r>
              <w:rPr>
                <w:color w:val="000000"/>
              </w:rPr>
              <w:t> </w:t>
            </w:r>
          </w:p>
        </w:tc>
        <w:tc>
          <w:tcPr>
            <w:tcW w:w="17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$9,669 </w:t>
            </w:r>
          </w:p>
        </w:tc>
        <w:tc>
          <w:tcPr>
            <w:tcW w:w="17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(5.8</w:t>
            </w:r>
          </w:p>
        </w:tc>
        <w:tc>
          <w:tcPr>
            <w:tcW w:w="426" w:type="dxa"/>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$25,938</w:t>
            </w:r>
            <w:r>
              <w:rPr>
                <w:color w:val="000000"/>
              </w:rPr>
              <w:t> </w:t>
            </w:r>
          </w:p>
        </w:tc>
        <w:tc>
          <w:tcPr>
            <w:tcW w:w="17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$29,484 </w:t>
            </w:r>
          </w:p>
        </w:tc>
        <w:tc>
          <w:tcPr>
            <w:tcW w:w="17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(12.0</w:t>
            </w:r>
          </w:p>
        </w:tc>
        <w:tc>
          <w:tcPr>
            <w:tcW w:w="490" w:type="dxa"/>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r>
      <w:tr>
        <w:trPr/>
        <w:tc>
          <w:tcPr>
            <w:tcW w:w="1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Less: Versant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554 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2,177 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Less: Sky operations in Germany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69 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8"/>
              </w:rPr>
            </w:pPr>
            <w:r>
              <w:rPr>
                <w:rFonts w:ascii="Helvetica;sans-serif" w:hAnsi="Helvetica;sans-serif"/>
                <w:b/>
                <w:color w:val="000000"/>
                <w:sz w:val="18"/>
              </w:rPr>
              <w:t>(59)</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130 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Less: Eliminations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8 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21 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8"/>
              </w:rPr>
            </w:pPr>
            <w:r>
              <w:rPr>
                <w:rFonts w:ascii="Helvetica;sans-serif" w:hAnsi="Helvetica;sans-serif"/>
                <w:b/>
                <w:color w:val="000000"/>
                <w:sz w:val="18"/>
              </w:rPr>
              <w:t>Pro Forma Consolidated Adjusted EBITDA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$9,106</w:t>
            </w:r>
            <w:r>
              <w:rPr>
                <w:color w:val="000000"/>
              </w:rPr>
              <w:t> </w:t>
            </w:r>
          </w:p>
        </w:tc>
        <w:tc>
          <w:tcPr>
            <w:tcW w:w="176"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$9,038 </w:t>
            </w:r>
          </w:p>
        </w:tc>
        <w:tc>
          <w:tcPr>
            <w:tcW w:w="176"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0.8 </w:t>
            </w:r>
          </w:p>
        </w:tc>
        <w:tc>
          <w:tcPr>
            <w:tcW w:w="426" w:type="dxa"/>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$25,996</w:t>
            </w:r>
            <w:r>
              <w:rPr>
                <w:color w:val="000000"/>
              </w:rPr>
              <w:t> </w:t>
            </w:r>
          </w:p>
        </w:tc>
        <w:tc>
          <w:tcPr>
            <w:tcW w:w="176"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$27,156 </w:t>
            </w:r>
          </w:p>
        </w:tc>
        <w:tc>
          <w:tcPr>
            <w:tcW w:w="176"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(4.3)</w:t>
            </w:r>
          </w:p>
        </w:tc>
        <w:tc>
          <w:tcPr>
            <w:tcW w:w="490" w:type="dxa"/>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w:t>
            </w:r>
          </w:p>
        </w:tc>
      </w:tr>
    </w:tbl>
    <w:p>
      <w:pPr>
        <w:pStyle w:val="TextBody"/>
        <w:bidi w:val="0"/>
        <w:spacing w:before="0" w:after="120"/>
        <w:ind w:left="0" w:right="0" w:firstLine="90"/>
        <w:jc w:val="left"/>
        <w:rPr/>
      </w:pPr>
      <w:r>
        <w:rPr/>
      </w:r>
    </w:p>
    <w:p>
      <w:pPr>
        <w:pStyle w:val="TextBody"/>
        <w:bidi w:val="0"/>
        <w:spacing w:lineRule="auto" w:line="288" w:before="0" w:after="120"/>
        <w:ind w:left="0" w:right="0" w:hanging="270"/>
        <w:jc w:val="left"/>
        <w:rPr>
          <w:rFonts w:ascii="Helvetica;sans-serif" w:hAnsi="Helvetica;sans-serif"/>
          <w:b w:val="false"/>
          <w:color w:val="000000"/>
          <w:sz w:val="16"/>
        </w:rPr>
      </w:pPr>
      <w:r>
        <w:rPr>
          <w:rFonts w:ascii="Helvetica;sans-serif" w:hAnsi="Helvetica;sans-serif"/>
          <w:b w:val="false"/>
          <w:color w:val="000000"/>
          <w:sz w:val="16"/>
        </w:rPr>
        <w:t>(1)Transaction costs are incremental costs directly related to effectuating the Versant Separation and the proposed NBCUniversal Spin-off and primarily include advisory, legal and audit fees, as well as legal entity separation costs. The three and nine months ended September 30, 2026 include $22 million of transaction costs related to the proposed NBCUniversal Spin-off. The nine months ended September 30, 2026 also include $51 million of transaction costs related to the Versant Separation. The three and nine months ended September 30, 2025 include $26 million and $82 million, respectively, of transaction costs related to the Versant Separation.</w:t>
      </w:r>
    </w:p>
    <w:p>
      <w:pPr>
        <w:pStyle w:val="TextBody"/>
        <w:bidi w:val="0"/>
        <w:spacing w:lineRule="auto" w:line="288" w:before="0" w:after="120"/>
        <w:ind w:left="0" w:right="0" w:hanging="270"/>
        <w:jc w:val="left"/>
        <w:rPr>
          <w:rFonts w:ascii="Helvetica;sans-serif" w:hAnsi="Helvetica;sans-serif"/>
          <w:b w:val="false"/>
          <w:color w:val="000000"/>
          <w:sz w:val="16"/>
        </w:rPr>
      </w:pPr>
      <w:r>
        <w:rPr>
          <w:rFonts w:ascii="Helvetica;sans-serif" w:hAnsi="Helvetica;sans-serif"/>
          <w:b w:val="false"/>
          <w:color w:val="000000"/>
          <w:sz w:val="16"/>
        </w:rPr>
        <w:t>(2)Transaction-related costs are incremental costs incurred related to the Versant Separation and the proposed NBCUniversal Spin-off, including costs that reflect strategic decisions about how the related stand-alone businesses will be structured or operated, which may be different than if they remained part of Comcast. Transaction-related costs primarily include certain separation-related employee compensation, severance and retention bonuses; IT separation and implementation costs; and other one-time costs. The three and nine months ended September 30, 2026 include $4 million of transaction-related costs related to the proposed NBCUniversal Spin-off. The three and nine months ended September 30, 2025 include $90 million and $166 million, respectively, of transaction-related costs related to the Versant Separation.</w:t>
      </w:r>
    </w:p>
    <w:p>
      <w:pPr>
        <w:pStyle w:val="TextBody"/>
        <w:bidi w:val="0"/>
        <w:spacing w:lineRule="auto" w:line="288" w:before="0" w:after="120"/>
        <w:ind w:left="0" w:right="0" w:hanging="270"/>
        <w:jc w:val="left"/>
        <w:rPr>
          <w:rFonts w:ascii="Helvetica;sans-serif" w:hAnsi="Helvetica;sans-serif"/>
          <w:b w:val="false"/>
          <w:color w:val="000000"/>
          <w:sz w:val="16"/>
        </w:rPr>
      </w:pPr>
      <w:r>
        <w:rPr>
          <w:rFonts w:ascii="Helvetica;sans-serif" w:hAnsi="Helvetica;sans-serif"/>
          <w:b w:val="false"/>
          <w:color w:val="000000"/>
          <w:sz w:val="16"/>
        </w:rPr>
        <w:t>(3)Amounts represent the impact of certain other events, gains, losses or other charges that are excluded from Adjusted EBITDA. The three and nine months ended September 30, 2026 include certain share-based compensation expenses and costs related to our investment portfolio. The nine months ended September 30, 2026 also include a gain related to a legal settlement. The three and nine months ended September 30, 2025 include costs related to our investment portfolio.</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16840"/>
                <wp:effectExtent l="0" t="0" r="0" b="0"/>
                <wp:wrapNone/>
                <wp:docPr id="31" name="Frame2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16"/>
                              </w:rPr>
                            </w:pPr>
                            <w:r>
                              <w:rPr>
                                <w:rFonts w:ascii="Helvetica;sans-serif" w:hAnsi="Helvetica;sans-serif"/>
                                <w:b w:val="false"/>
                                <w:color w:val="000000"/>
                                <w:sz w:val="16"/>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16"/>
                        </w:rPr>
                      </w:pPr>
                      <w:r>
                        <w:rPr>
                          <w:rFonts w:ascii="Helvetica;sans-serif" w:hAnsi="Helvetica;sans-serif"/>
                          <w:b w:val="false"/>
                          <w:color w:val="000000"/>
                          <w:sz w:val="16"/>
                        </w:rPr>
                        <w:t>19</w:t>
                      </w:r>
                    </w:p>
                  </w:txbxContent>
                </v:textbox>
                <w10:wrap type="none"/>
              </v:rect>
            </w:pict>
          </mc:Fallback>
        </mc:AlternateContent>
      </w:r>
    </w:p>
    <w:p>
      <w:pPr>
        <w:pStyle w:val="TextBody"/>
        <w:bidi w:val="0"/>
        <w:spacing w:lineRule="auto" w:line="288" w:before="0" w:after="0"/>
        <w:jc w:val="right"/>
        <w:rPr>
          <w:rFonts w:ascii="Helvetica;sans-serif" w:hAnsi="Helvetica;sans-serif"/>
          <w:b/>
          <w:color w:val="000000"/>
          <w:sz w:val="18"/>
        </w:rPr>
      </w:pPr>
      <w:r>
        <w:rPr>
          <w:rFonts w:ascii="Helvetica;sans-serif" w:hAnsi="Helvetica;sans-serif"/>
          <w:b/>
          <w:color w:val="000000"/>
          <w:sz w:val="18"/>
        </w:rPr>
        <w:t>Exhibit 99.2</w:t>
      </w:r>
    </w:p>
    <w:p>
      <w:pPr>
        <w:pStyle w:val="TextBody"/>
        <w:bidi w:val="0"/>
        <w:spacing w:lineRule="auto" w:line="288" w:before="1" w:after="283"/>
        <w:jc w:val="left"/>
        <w:rPr>
          <w:color w:val="000000"/>
        </w:rPr>
      </w:pPr>
      <w:r>
        <w:rPr>
          <w:color w:val="000000"/>
        </w:rPr>
        <w:t> </w:t>
      </w:r>
    </w:p>
    <w:p>
      <w:pPr>
        <w:pStyle w:val="TextBody"/>
        <w:bidi w:val="0"/>
        <w:spacing w:lineRule="auto" w:line="288" w:before="1" w:after="283"/>
        <w:jc w:val="both"/>
        <w:rPr>
          <w:rFonts w:ascii="Helvetica;sans-serif" w:hAnsi="Helvetica;sans-serif"/>
          <w:b/>
          <w:color w:val="000000"/>
          <w:sz w:val="18"/>
        </w:rPr>
      </w:pPr>
      <w:r>
        <w:rPr>
          <w:rFonts w:ascii="Helvetica;sans-serif" w:hAnsi="Helvetica;sans-serif"/>
          <w:b/>
          <w:color w:val="000000"/>
          <w:sz w:val="18"/>
        </w:rPr>
        <w:t>Exhibit 99.2 - Explanation of Non-GAAP and Other Financial Measures</w:t>
      </w:r>
    </w:p>
    <w:p>
      <w:pPr>
        <w:pStyle w:val="TextBody"/>
        <w:bidi w:val="0"/>
        <w:spacing w:lineRule="auto" w:line="288" w:before="1" w:after="283"/>
        <w:jc w:val="both"/>
        <w:rPr>
          <w:color w:val="000000"/>
        </w:rPr>
      </w:pPr>
      <w:r>
        <w:rPr>
          <w:color w:val="000000"/>
        </w:rPr>
        <w:t> </w:t>
      </w:r>
    </w:p>
    <w:p>
      <w:pPr>
        <w:pStyle w:val="TextBody"/>
        <w:bidi w:val="0"/>
        <w:spacing w:lineRule="auto" w:line="288" w:before="0" w:after="0"/>
        <w:jc w:val="both"/>
        <w:rPr>
          <w:rFonts w:ascii="Helvetica;sans-serif" w:hAnsi="Helvetica;sans-serif"/>
          <w:b w:val="false"/>
          <w:color w:val="000000"/>
          <w:sz w:val="18"/>
        </w:rPr>
      </w:pPr>
      <w:r>
        <w:rPr>
          <w:rFonts w:ascii="Helvetica;sans-serif" w:hAnsi="Helvetica;sans-serif"/>
          <w:b w:val="false"/>
          <w:color w:val="000000"/>
          <w:sz w:val="18"/>
        </w:rPr>
        <w:t>This Exhibit 99.2 to the accompanying Current Report on Form 8-K for Comcast Corporation (“we”, “us” or “our”) sets forth the reasons we believe that presentation of financial measures not in accordance with generally accepted accounting principles in the United States (GAAP) contained in the earnings press release filed as Exhibit 99.1 to the Current Report on Form 8-K provides useful information to investors regarding our results of operations and financial condition. To the extent material, this Exhibit also discloses the additional purposes, if any, for which our management uses these non-GAAP financial measures. Reconciliations between these non-GAAP financial measures and their most directly comparable GAAP financial measures are included in the earnings press release itself. Non-GAAP financial information should be considered in addition to, but not as a substitute for, operating income, net income, net income attributable to Comcast Corporation, earnings per common share attributable to Comcast Corporation shareholders, net cash provided by operating activities or other measures of performance or liquidity reported in accordance with GAAP.</w:t>
      </w:r>
    </w:p>
    <w:p>
      <w:pPr>
        <w:pStyle w:val="TextBody"/>
        <w:bidi w:val="0"/>
        <w:spacing w:before="0" w:after="0"/>
        <w:jc w:val="both"/>
        <w:rPr/>
      </w:pPr>
      <w:r>
        <w:rPr/>
      </w:r>
    </w:p>
    <w:p>
      <w:pPr>
        <w:pStyle w:val="TextBody"/>
        <w:bidi w:val="0"/>
        <w:spacing w:lineRule="auto" w:line="417" w:before="0" w:after="0"/>
        <w:jc w:val="both"/>
        <w:rPr>
          <w:rFonts w:ascii="Helvetica;sans-serif" w:hAnsi="Helvetica;sans-serif"/>
          <w:b w:val="false"/>
          <w:color w:val="000000"/>
          <w:sz w:val="18"/>
          <w:u w:val="single"/>
        </w:rPr>
      </w:pPr>
      <w:r>
        <w:rPr>
          <w:rFonts w:ascii="Helvetica;sans-serif" w:hAnsi="Helvetica;sans-serif"/>
          <w:b w:val="false"/>
          <w:color w:val="000000"/>
          <w:sz w:val="18"/>
          <w:u w:val="single"/>
        </w:rPr>
        <w:t>Adjusted EBITDA</w:t>
      </w:r>
    </w:p>
    <w:p>
      <w:pPr>
        <w:pStyle w:val="TextBody"/>
        <w:bidi w:val="0"/>
        <w:spacing w:before="0" w:after="0"/>
        <w:jc w:val="both"/>
        <w:rPr/>
      </w:pPr>
      <w:r>
        <w:rPr/>
      </w:r>
    </w:p>
    <w:p>
      <w:pPr>
        <w:pStyle w:val="TextBody"/>
        <w:bidi w:val="0"/>
        <w:spacing w:lineRule="auto" w:line="288" w:before="0" w:after="0"/>
        <w:jc w:val="both"/>
        <w:rPr>
          <w:rFonts w:ascii="Helvetica;sans-serif" w:hAnsi="Helvetica;sans-serif"/>
          <w:b w:val="false"/>
          <w:color w:val="000000"/>
          <w:sz w:val="18"/>
        </w:rPr>
      </w:pPr>
      <w:r>
        <w:rPr>
          <w:rFonts w:ascii="Helvetica;sans-serif" w:hAnsi="Helvetica;sans-serif"/>
          <w:b w:val="false"/>
          <w:color w:val="000000"/>
          <w:sz w:val="18"/>
        </w:rPr>
        <w:t xml:space="preserve">Adjusted EBITDA is a non-GAAP financial measure and is the primary basis used to measure the operational strength and performance of our businesses as well as to assist in the evaluation of underlying trends in our businesses. This measure eliminates the significant level of noncash depreciation and amortization expense that results from the capital-intensive nature of certain of our businesses and from intangible assets recognized in business combinations. It is also unaffected by our capital and tax structures, and by our investment activities, including the results of entities that we do not consolidate, as our management excludes these results when evaluating our operating performance. Our management and Board of Directors use this financial measure to evaluate our consolidated operating performance and the operating performance of our operating segments and to allocate resources and capital to our operating segments. It is also a significant performance measure in our annual incentive compensation programs. Additionally, we believe that Adjusted EBITDA is useful to investors because it is one of the bases for comparing our operating performance with that of other companies in our industries, although our measure of Adjusted EBITDA may not be directly comparable to similar measures used by other companies. </w:t>
      </w:r>
    </w:p>
    <w:p>
      <w:pPr>
        <w:pStyle w:val="TextBody"/>
        <w:bidi w:val="0"/>
        <w:spacing w:before="0" w:after="0"/>
        <w:jc w:val="both"/>
        <w:rPr/>
      </w:pPr>
      <w:r>
        <w:rPr/>
      </w:r>
    </w:p>
    <w:p>
      <w:pPr>
        <w:pStyle w:val="TextBody"/>
        <w:bidi w:val="0"/>
        <w:spacing w:lineRule="auto" w:line="288" w:before="0" w:after="0"/>
        <w:jc w:val="both"/>
        <w:rPr>
          <w:rFonts w:ascii="Helvetica;sans-serif" w:hAnsi="Helvetica;sans-serif"/>
          <w:b w:val="false"/>
          <w:color w:val="000000"/>
          <w:sz w:val="18"/>
        </w:rPr>
      </w:pPr>
      <w:r>
        <w:rPr>
          <w:rFonts w:ascii="Helvetica;sans-serif" w:hAnsi="Helvetica;sans-serif"/>
          <w:b w:val="false"/>
          <w:color w:val="000000"/>
          <w:sz w:val="18"/>
        </w:rPr>
        <w:t xml:space="preserve">We define Adjusted EBITDA as net income attributable to Comcast Corporation before net income (loss) attributable to noncontrolling interests, income tax expense, investment and other income (loss), net, interest expense, depreciation and amortization expense, and other operating gains and losses (such as impairment charges related to fixed and intangible assets and gains or losses on the sale of long-lived assets), if any. From time to time, we may exclude from Adjusted EBITDA the impact of certain events, gains, losses or other charges (such as significant legal settlements) that affect the period-to-period comparability of our operating performance. </w:t>
      </w:r>
    </w:p>
    <w:p>
      <w:pPr>
        <w:pStyle w:val="TextBody"/>
        <w:bidi w:val="0"/>
        <w:spacing w:before="0" w:after="0"/>
        <w:jc w:val="both"/>
        <w:rPr/>
      </w:pPr>
      <w:r>
        <w:rPr/>
      </w:r>
    </w:p>
    <w:p>
      <w:pPr>
        <w:pStyle w:val="TextBody"/>
        <w:bidi w:val="0"/>
        <w:spacing w:lineRule="auto" w:line="288" w:before="0" w:after="0"/>
        <w:jc w:val="both"/>
        <w:rPr>
          <w:rFonts w:ascii="Helvetica;sans-serif" w:hAnsi="Helvetica;sans-serif"/>
          <w:b w:val="false"/>
          <w:color w:val="000000"/>
          <w:sz w:val="18"/>
        </w:rPr>
      </w:pPr>
      <w:r>
        <w:rPr>
          <w:rFonts w:ascii="Helvetica;sans-serif" w:hAnsi="Helvetica;sans-serif"/>
          <w:b w:val="false"/>
          <w:color w:val="000000"/>
          <w:sz w:val="18"/>
        </w:rPr>
        <w:t xml:space="preserve">We also use Adjusted EBITDA as the measure of profit or loss for our segments. Our measure of Adjusted EBITDA for our segments is not a non-GAAP financial measure under rules promulgated by the Securities and Exchange Commission. </w:t>
      </w:r>
    </w:p>
    <w:p>
      <w:pPr>
        <w:pStyle w:val="TextBody"/>
        <w:bidi w:val="0"/>
        <w:spacing w:before="0" w:after="0"/>
        <w:jc w:val="both"/>
        <w:rPr/>
      </w:pPr>
      <w:r>
        <w:rPr/>
      </w:r>
    </w:p>
    <w:p>
      <w:pPr>
        <w:pStyle w:val="TextBody"/>
        <w:bidi w:val="0"/>
        <w:spacing w:lineRule="auto" w:line="417" w:before="0" w:after="0"/>
        <w:jc w:val="both"/>
        <w:rPr>
          <w:rFonts w:ascii="Helvetica;sans-serif" w:hAnsi="Helvetica;sans-serif"/>
          <w:b w:val="false"/>
          <w:color w:val="000000"/>
          <w:sz w:val="18"/>
          <w:u w:val="single"/>
        </w:rPr>
      </w:pPr>
      <w:r>
        <w:rPr>
          <w:rFonts w:ascii="Helvetica;sans-serif" w:hAnsi="Helvetica;sans-serif"/>
          <w:b w:val="false"/>
          <w:color w:val="000000"/>
          <w:sz w:val="18"/>
          <w:u w:val="single"/>
        </w:rPr>
        <w:t>Adjusted Net Income and Adjusted EPS</w:t>
      </w:r>
    </w:p>
    <w:p>
      <w:pPr>
        <w:pStyle w:val="TextBody"/>
        <w:bidi w:val="0"/>
        <w:spacing w:before="0" w:after="0"/>
        <w:jc w:val="both"/>
        <w:rPr/>
      </w:pPr>
      <w:r>
        <w:rPr/>
      </w:r>
    </w:p>
    <w:p>
      <w:pPr>
        <w:pStyle w:val="TextBody"/>
        <w:bidi w:val="0"/>
        <w:spacing w:lineRule="auto" w:line="288" w:before="0" w:after="0"/>
        <w:jc w:val="both"/>
        <w:rPr/>
      </w:pPr>
      <w:r>
        <w:rPr>
          <w:rFonts w:ascii="Helvetica;sans-serif" w:hAnsi="Helvetica;sans-serif"/>
          <w:b w:val="false"/>
          <w:color w:val="000000"/>
          <w:sz w:val="18"/>
        </w:rPr>
        <w:t xml:space="preserve">Adjusted Net Income and Adjusted EPS are non-GAAP financial measures presenting the earnings generated by our ongoing operations that we believe is useful to investors in making meaningful comparisons to other companies, although these measures may not be directly comparable to similar measures used by other companies, and period-over-period comparisons. Adjusted Net Income and Adjusted EPS are defined as net income attributable to Comcast Corporation and diluted earnings per common share attributable to Comcast Corporation shareholders, respectively, adjusted to exclude the effects of the amortization of acquisition-related intangible assets, investments that investors may want to evaluate separately (such as based on fair value) and the impact of certain events, gains, losses or other charges that affect period-over-period comparisons. Acquisition-related intangible assets are recognized as a result of the application of Accounting Standards Codification Topic (“ASC”) 805, </w:t>
      </w:r>
      <w:r>
        <w:rPr>
          <w:rFonts w:ascii="Helvetica;sans-serif" w:hAnsi="Helvetica;sans-serif"/>
          <w:b w:val="false"/>
          <w:i/>
          <w:color w:val="000000"/>
          <w:sz w:val="18"/>
        </w:rPr>
        <w:t>Business Combinations</w:t>
      </w:r>
      <w:r>
        <w:rPr>
          <w:color w:val="000000"/>
        </w:rPr>
        <w:t xml:space="preserve"> </w:t>
      </w:r>
      <w:r>
        <w:rPr>
          <w:rFonts w:ascii="Helvetica;sans-serif" w:hAnsi="Helvetica;sans-serif"/>
          <w:b w:val="false"/>
          <w:color w:val="000000"/>
          <w:sz w:val="18"/>
        </w:rPr>
        <w:t xml:space="preserve">(such as customer relationships), and their amortization is significantly affected by the size and timing of our acquisitions. Amortization of intangible assets not resulting from business combinations (such as software and acquired intellectual property rights used in our theme parks) is included in Adjusted Net Income and Adjusted EPS. Investments that investors may want to evaluate separately include all equity securities accounted for under ASC Topic 321, </w:t>
      </w:r>
      <w:r>
        <w:rPr>
          <w:rFonts w:ascii="Helvetica;sans-serif" w:hAnsi="Helvetica;sans-serif"/>
          <w:b w:val="false"/>
          <w:i/>
          <w:color w:val="000000"/>
          <w:sz w:val="18"/>
        </w:rPr>
        <w:t>Investments-Equity Securities</w:t>
      </w:r>
      <w:r>
        <w:rPr>
          <w:rFonts w:ascii="Helvetica;sans-serif" w:hAnsi="Helvetica;sans-serif"/>
          <w:b w:val="false"/>
          <w:color w:val="000000"/>
          <w:sz w:val="18"/>
        </w:rPr>
        <w:t xml:space="preserve">, as well as certain investments accounted for under ASC 323, </w:t>
      </w:r>
      <w:r>
        <w:rPr>
          <w:rFonts w:ascii="Helvetica;sans-serif" w:hAnsi="Helvetica;sans-serif"/>
          <w:b w:val="false"/>
          <w:i/>
          <w:color w:val="000000"/>
          <w:sz w:val="18"/>
        </w:rPr>
        <w:t xml:space="preserve">Investments-Equity Method and Joint </w:t>
      </w:r>
      <w:r>
        <w:rPr>
          <w:rFonts w:ascii="Helvetica;sans-serif" w:hAnsi="Helvetica;sans-serif"/>
          <w:b w:val="false"/>
          <w:color w:val="000000"/>
          <w:sz w:val="18"/>
        </w:rPr>
        <w:t>Ventures.</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32" name="Frame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Helvetica;sans-serif" w:hAnsi="Helvetica;sans-serif"/>
          <w:b/>
          <w:color w:val="000000"/>
          <w:sz w:val="18"/>
        </w:rPr>
      </w:pPr>
      <w:r>
        <w:rPr>
          <w:rFonts w:ascii="Helvetica;sans-serif" w:hAnsi="Helvetica;sans-serif"/>
          <w:b/>
          <w:color w:val="000000"/>
          <w:sz w:val="18"/>
        </w:rPr>
        <w:t>Exhibit 99.2 - Explanation of Non-GAAP and Other Financial Measures, cont’d</w:t>
      </w:r>
    </w:p>
    <w:p>
      <w:pPr>
        <w:pStyle w:val="TextBody"/>
        <w:bidi w:val="0"/>
        <w:spacing w:before="0" w:after="0"/>
        <w:jc w:val="both"/>
        <w:rPr/>
      </w:pPr>
      <w:r>
        <w:rPr/>
      </w:r>
    </w:p>
    <w:p>
      <w:pPr>
        <w:pStyle w:val="TextBody"/>
        <w:bidi w:val="0"/>
        <w:spacing w:lineRule="auto" w:line="417" w:before="0" w:after="0"/>
        <w:jc w:val="both"/>
        <w:rPr>
          <w:rFonts w:ascii="Helvetica;sans-serif" w:hAnsi="Helvetica;sans-serif"/>
          <w:b w:val="false"/>
          <w:color w:val="000000"/>
          <w:sz w:val="18"/>
          <w:u w:val="single"/>
        </w:rPr>
      </w:pPr>
      <w:r>
        <w:rPr>
          <w:rFonts w:ascii="Helvetica;sans-serif" w:hAnsi="Helvetica;sans-serif"/>
          <w:b w:val="false"/>
          <w:color w:val="000000"/>
          <w:sz w:val="18"/>
          <w:u w:val="single"/>
        </w:rPr>
        <w:t>Free Cash Flow</w:t>
      </w:r>
    </w:p>
    <w:p>
      <w:pPr>
        <w:pStyle w:val="TextBody"/>
        <w:bidi w:val="0"/>
        <w:spacing w:before="0" w:after="0"/>
        <w:jc w:val="both"/>
        <w:rPr/>
      </w:pPr>
      <w:r>
        <w:rPr/>
      </w:r>
    </w:p>
    <w:p>
      <w:pPr>
        <w:pStyle w:val="TextBody"/>
        <w:bidi w:val="0"/>
        <w:spacing w:lineRule="auto" w:line="288" w:before="0" w:after="0"/>
        <w:jc w:val="both"/>
        <w:rPr>
          <w:rFonts w:ascii="Helvetica;sans-serif" w:hAnsi="Helvetica;sans-serif"/>
          <w:b w:val="false"/>
          <w:color w:val="000000"/>
          <w:sz w:val="18"/>
        </w:rPr>
      </w:pPr>
      <w:r>
        <w:rPr>
          <w:rFonts w:ascii="Helvetica;sans-serif" w:hAnsi="Helvetica;sans-serif"/>
          <w:b w:val="false"/>
          <w:color w:val="000000"/>
          <w:sz w:val="18"/>
        </w:rPr>
        <w:t>Free Cash Flow is a non-GAAP financial measure that we believe provides a meaningful measure of liquidity and a useful basis for assessing our ability to repay debt, make strategic acquisitions and investments, and return capital to investors through stock repurchases and dividends. It is also a significant performance measure in our annual incentive compensation programs. Additionally, we believe Free Cash Flow is useful to investors as a basis for comparing our performance and coverage ratios with other companies in our industries, although our measure of Free Cash Flow may not be directly comparable to similar measures used by other companies. Free Cash Flow has certain limitations, including that it does not represent the residual cash flow available for discretionary expenditures since other non-discretionary payments, such as mandatory debt repayments, are not deducted from the measure.  </w:t>
      </w:r>
    </w:p>
    <w:p>
      <w:pPr>
        <w:pStyle w:val="TextBody"/>
        <w:bidi w:val="0"/>
        <w:spacing w:before="0" w:after="0"/>
        <w:jc w:val="both"/>
        <w:rPr/>
      </w:pPr>
      <w:r>
        <w:rPr/>
      </w:r>
    </w:p>
    <w:p>
      <w:pPr>
        <w:pStyle w:val="TextBody"/>
        <w:bidi w:val="0"/>
        <w:spacing w:lineRule="auto" w:line="276" w:before="0" w:after="0"/>
        <w:jc w:val="both"/>
        <w:rPr>
          <w:rFonts w:ascii="Helvetica;sans-serif" w:hAnsi="Helvetica;sans-serif"/>
          <w:b w:val="false"/>
          <w:color w:val="000000"/>
          <w:sz w:val="18"/>
        </w:rPr>
      </w:pPr>
      <w:r>
        <w:rPr>
          <w:rFonts w:ascii="Helvetica;sans-serif" w:hAnsi="Helvetica;sans-serif"/>
          <w:b w:val="false"/>
          <w:color w:val="000000"/>
          <w:sz w:val="18"/>
        </w:rPr>
        <w:t>Free Cash Flow is defined as net cash provided by operating activities (as stated in our Consolidated Statements of Cash Flows) reduced by capital expenditures and cash paid for intangible assets. From time to time, we may exclude from Free Cash Flow the impact of certain cash receipts or payments (such as significant legal settlements) that affect period-to-period comparability. Cash payments related to certain capital or intangible assets, such as the construction of Universal Beijing Resort, are presented separately in our Consolidated Statements of Cash Flows and are therefore excluded from capital expenditures and cash paid for intangible assets for Free Cash Flow.</w:t>
      </w:r>
    </w:p>
    <w:p>
      <w:pPr>
        <w:pStyle w:val="TextBody"/>
        <w:bidi w:val="0"/>
        <w:spacing w:before="0" w:after="0"/>
        <w:jc w:val="both"/>
        <w:rPr/>
      </w:pPr>
      <w:r>
        <w:rPr/>
      </w:r>
    </w:p>
    <w:p>
      <w:pPr>
        <w:pStyle w:val="TextBody"/>
        <w:bidi w:val="0"/>
        <w:spacing w:lineRule="auto" w:line="288" w:before="0" w:after="0"/>
        <w:jc w:val="both"/>
        <w:rPr>
          <w:rFonts w:ascii="Helvetica;sans-serif" w:hAnsi="Helvetica;sans-serif"/>
          <w:b w:val="false"/>
          <w:color w:val="000000"/>
          <w:sz w:val="18"/>
          <w:u w:val="single"/>
        </w:rPr>
      </w:pPr>
      <w:r>
        <w:rPr>
          <w:rFonts w:ascii="Helvetica;sans-serif" w:hAnsi="Helvetica;sans-serif"/>
          <w:b w:val="false"/>
          <w:color w:val="000000"/>
          <w:sz w:val="18"/>
          <w:u w:val="single"/>
        </w:rPr>
        <w:t>Constant Currency</w:t>
      </w:r>
    </w:p>
    <w:p>
      <w:pPr>
        <w:pStyle w:val="TextBody"/>
        <w:bidi w:val="0"/>
        <w:spacing w:before="0" w:after="0"/>
        <w:jc w:val="both"/>
        <w:rPr/>
      </w:pPr>
      <w:r>
        <w:rPr/>
      </w:r>
    </w:p>
    <w:p>
      <w:pPr>
        <w:pStyle w:val="TextBody"/>
        <w:bidi w:val="0"/>
        <w:spacing w:lineRule="auto" w:line="288" w:before="0" w:after="0"/>
        <w:jc w:val="both"/>
        <w:rPr>
          <w:rFonts w:ascii="Helvetica;sans-serif" w:hAnsi="Helvetica;sans-serif"/>
          <w:b w:val="false"/>
          <w:color w:val="000000"/>
          <w:sz w:val="18"/>
        </w:rPr>
      </w:pPr>
      <w:r>
        <w:rPr>
          <w:rFonts w:ascii="Helvetica;sans-serif" w:hAnsi="Helvetica;sans-serif"/>
          <w:b w:val="false"/>
          <w:color w:val="000000"/>
          <w:sz w:val="18"/>
        </w:rPr>
        <w:t xml:space="preserve">Constant currency and constant currency growth rates are non-GAAP financial measures that present our results of operations excluding the estimated effects of foreign currency exchange rate fluctuations. Certain of our businesses, including Connectivity &amp; Platforms, have operations outside the United States that are conducted in local currencies. As a result, the comparability of the financial results reported in U.S. dollars is affected by changes in foreign currency exchange rates. In our Connectivity &amp; Platforms business, we use constant currency and constant currency growth rates to evaluate the underlying performance of the businesses, and we believe they are helpful for investors because such measures present operating results on a comparable basis year over year to allow the evaluation of their underlying performance. </w:t>
      </w:r>
    </w:p>
    <w:p>
      <w:pPr>
        <w:pStyle w:val="TextBody"/>
        <w:bidi w:val="0"/>
        <w:spacing w:before="0" w:after="0"/>
        <w:jc w:val="both"/>
        <w:rPr/>
      </w:pPr>
      <w:r>
        <w:rPr/>
      </w:r>
    </w:p>
    <w:p>
      <w:pPr>
        <w:pStyle w:val="TextBody"/>
        <w:bidi w:val="0"/>
        <w:spacing w:lineRule="auto" w:line="288" w:before="0" w:after="0"/>
        <w:jc w:val="both"/>
        <w:rPr>
          <w:rFonts w:ascii="Helvetica;sans-serif" w:hAnsi="Helvetica;sans-serif"/>
          <w:b w:val="false"/>
          <w:color w:val="000000"/>
          <w:sz w:val="18"/>
        </w:rPr>
      </w:pPr>
      <w:r>
        <w:rPr>
          <w:rFonts w:ascii="Helvetica;sans-serif" w:hAnsi="Helvetica;sans-serif"/>
          <w:b w:val="false"/>
          <w:color w:val="000000"/>
          <w:sz w:val="18"/>
        </w:rPr>
        <w:t>Constant currency and constant currency growth rates are calculated by comparing the results for each comparable prior year period adjusted to reflect the average exchange rates from each current year period presented rather than the actual exchange rates that were in effect during the respective periods.</w:t>
      </w:r>
    </w:p>
    <w:p>
      <w:pPr>
        <w:pStyle w:val="TextBody"/>
        <w:bidi w:val="0"/>
        <w:spacing w:before="0" w:after="0"/>
        <w:jc w:val="both"/>
        <w:rPr/>
      </w:pPr>
      <w:r>
        <w:rPr/>
      </w:r>
    </w:p>
    <w:p>
      <w:pPr>
        <w:pStyle w:val="TextBody"/>
        <w:bidi w:val="0"/>
        <w:spacing w:lineRule="auto" w:line="288" w:before="0" w:after="0"/>
        <w:jc w:val="both"/>
        <w:rPr>
          <w:rFonts w:ascii="Helvetica;sans-serif" w:hAnsi="Helvetica;sans-serif"/>
          <w:b w:val="false"/>
          <w:color w:val="000000"/>
          <w:sz w:val="18"/>
          <w:u w:val="single"/>
        </w:rPr>
      </w:pPr>
      <w:r>
        <w:rPr>
          <w:rFonts w:ascii="Helvetica;sans-serif" w:hAnsi="Helvetica;sans-serif"/>
          <w:b w:val="false"/>
          <w:color w:val="000000"/>
          <w:sz w:val="18"/>
          <w:u w:val="single"/>
        </w:rPr>
        <w:t>Other Adjustments</w:t>
      </w:r>
    </w:p>
    <w:p>
      <w:pPr>
        <w:pStyle w:val="TextBody"/>
        <w:bidi w:val="0"/>
        <w:spacing w:before="0" w:after="0"/>
        <w:jc w:val="both"/>
        <w:rPr/>
      </w:pPr>
      <w:r>
        <w:rPr/>
      </w:r>
    </w:p>
    <w:p>
      <w:pPr>
        <w:pStyle w:val="TextBody"/>
        <w:bidi w:val="0"/>
        <w:spacing w:lineRule="auto" w:line="288" w:before="0" w:after="0"/>
        <w:jc w:val="both"/>
        <w:rPr>
          <w:rFonts w:ascii="Helvetica;sans-serif" w:hAnsi="Helvetica;sans-serif"/>
          <w:b w:val="false"/>
          <w:color w:val="000000"/>
          <w:sz w:val="18"/>
        </w:rPr>
      </w:pPr>
      <w:r>
        <w:rPr>
          <w:rFonts w:ascii="Helvetica;sans-serif" w:hAnsi="Helvetica;sans-serif"/>
          <w:b w:val="false"/>
          <w:color w:val="000000"/>
          <w:sz w:val="18"/>
        </w:rPr>
        <w:t>We also present adjusted information (e.g., Adjusted Revenues), to exclude the impact of certain events, gains, losses or other charges. This adjusted information is a non-GAAP financial measure. We believe, among other things, that the adjusted information may help investors evaluate our ongoing operations and can assist in making meaningful period-over-period comparisons.</w:t>
      </w:r>
    </w:p>
    <w:p>
      <w:pPr>
        <w:pStyle w:val="TextBody"/>
        <w:bidi w:val="0"/>
        <w:spacing w:lineRule="auto" w:line="288" w:before="1" w:after="283"/>
        <w:jc w:val="both"/>
        <w:rPr>
          <w:color w:val="000000"/>
        </w:rPr>
      </w:pPr>
      <w:r>
        <w:rPr>
          <w:color w:val="000000"/>
        </w:rPr>
        <w:t> </w:t>
      </w:r>
    </w:p>
    <w:p>
      <w:pPr>
        <w:pStyle w:val="TextBody"/>
        <w:bidi w:val="0"/>
        <w:spacing w:lineRule="auto" w:line="288" w:before="0" w:after="0"/>
        <w:jc w:val="both"/>
        <w:rPr>
          <w:rFonts w:ascii="Helvetica;sans-serif" w:hAnsi="Helvetica;sans-serif"/>
          <w:b w:val="false"/>
          <w:color w:val="000000"/>
          <w:sz w:val="18"/>
          <w:u w:val="single"/>
        </w:rPr>
      </w:pPr>
      <w:r>
        <w:rPr>
          <w:rFonts w:ascii="Helvetica;sans-serif" w:hAnsi="Helvetica;sans-serif"/>
          <w:b w:val="false"/>
          <w:color w:val="000000"/>
          <w:sz w:val="18"/>
          <w:u w:val="single"/>
        </w:rPr>
        <w:t>Pro Forma Information Related to the Versant Separation and the Sale of Sky operations in Germany</w:t>
      </w:r>
    </w:p>
    <w:p>
      <w:pPr>
        <w:pStyle w:val="TextBody"/>
        <w:bidi w:val="0"/>
        <w:spacing w:before="0" w:after="0"/>
        <w:jc w:val="both"/>
        <w:rPr/>
      </w:pPr>
      <w:r>
        <w:rPr/>
      </w:r>
    </w:p>
    <w:p>
      <w:pPr>
        <w:pStyle w:val="TextBody"/>
        <w:bidi w:val="0"/>
        <w:spacing w:lineRule="auto" w:line="288"/>
        <w:jc w:val="both"/>
        <w:rPr>
          <w:rFonts w:ascii="Helvetica;sans-serif" w:hAnsi="Helvetica;sans-serif"/>
          <w:b w:val="false"/>
          <w:color w:val="000000"/>
          <w:sz w:val="18"/>
        </w:rPr>
      </w:pPr>
      <w:r>
        <w:rPr>
          <w:rFonts w:ascii="Helvetica;sans-serif" w:hAnsi="Helvetica;sans-serif"/>
          <w:b w:val="false"/>
          <w:color w:val="000000"/>
          <w:sz w:val="18"/>
        </w:rPr>
        <w:t>Pro forma financial measures presented related to the separation of Versant Media Group, Inc. (“Versant”), which was completed on January 2, 2026, resulting in Versant becoming an independent, publicly traded company (the “Versant Separation”), and to the sale of Sky operations in Germany, which was completed on May 31, 2026 (the "Sale"), are non-GAAP financial measures and are presented as if the Versant Separation and the Sale had both occurred on January 1, 2024. We believe this pro forma information is useful to investors as it enhances comparability of financial information between periods and provides useful information for assessing trends in our ongoing operations. The pro forma information is primarily based on historical results of operations and includes pro forma adjustments in accordance with Article 11 of Regulation S-X that are directly attributable to the Versant Separation and the Sale. For the Versant Separation, this includes adjustments related to the commercial services agreement for the sale and use of Versant’s advertising and promotional inventory. This pro forma information is not necessarily indicative of future results.</w:t>
      </w:r>
    </w:p>
    <w:p>
      <w:pPr>
        <w:pStyle w:val="TextBody"/>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33" name="Frame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Helvetica">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image" Target="media/image1.jpeg"/><Relationship Id="rId9" Type="http://schemas.openxmlformats.org/officeDocument/2006/relationships/image" Target="media/image1.jpeg"/><Relationship Id="rId10" Type="http://schemas.openxmlformats.org/officeDocument/2006/relationships/image" Target="media/image1.jpeg"/><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22</Pages>
  <Words>9240</Words>
  <Characters>53664</Characters>
  <CharactersWithSpaces>61711</CharactersWithSpaces>
  <Paragraphs>1826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